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72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ОТЧЕТ</w:t>
      </w:r>
      <w:r w:rsidR="000529FF" w:rsidRPr="001D427E">
        <w:rPr>
          <w:rFonts w:ascii="Times New Roman" w:hAnsi="Times New Roman" w:cs="Times New Roman"/>
        </w:rPr>
        <w:t xml:space="preserve"> </w:t>
      </w:r>
    </w:p>
    <w:p w:rsidR="00D96FB8" w:rsidRPr="001D427E" w:rsidRDefault="00D61472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муниципального образования «Каргасокский район»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о результатах работы по реализации мероприятий в соответствии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с пунктами 6,7,8,15 Указа Президента Российской Федерации от 07.05.2018 №204 «О национальных целях и стратегических задачах развития </w:t>
      </w:r>
    </w:p>
    <w:p w:rsidR="00AF75E5" w:rsidRPr="001D427E" w:rsidRDefault="00AF75E5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>Российской Федерации на период до 2024 года»</w:t>
      </w:r>
    </w:p>
    <w:p w:rsidR="000529FF" w:rsidRPr="001D427E" w:rsidRDefault="000529FF" w:rsidP="00AF75E5">
      <w:pPr>
        <w:pStyle w:val="a3"/>
        <w:jc w:val="center"/>
        <w:rPr>
          <w:rFonts w:ascii="Times New Roman" w:hAnsi="Times New Roman" w:cs="Times New Roman"/>
        </w:rPr>
      </w:pPr>
      <w:r w:rsidRPr="001D427E">
        <w:rPr>
          <w:rFonts w:ascii="Times New Roman" w:hAnsi="Times New Roman" w:cs="Times New Roman"/>
        </w:rPr>
        <w:t xml:space="preserve">за </w:t>
      </w:r>
      <w:r w:rsidR="00990B39">
        <w:rPr>
          <w:rFonts w:ascii="Times New Roman" w:hAnsi="Times New Roman" w:cs="Times New Roman"/>
        </w:rPr>
        <w:t>1</w:t>
      </w:r>
      <w:r w:rsidRPr="001D427E">
        <w:rPr>
          <w:rFonts w:ascii="Times New Roman" w:hAnsi="Times New Roman" w:cs="Times New Roman"/>
        </w:rPr>
        <w:t xml:space="preserve"> квартал 202</w:t>
      </w:r>
      <w:r w:rsidR="00990B39">
        <w:rPr>
          <w:rFonts w:ascii="Times New Roman" w:hAnsi="Times New Roman" w:cs="Times New Roman"/>
        </w:rPr>
        <w:t>4</w:t>
      </w:r>
      <w:bookmarkStart w:id="0" w:name="_GoBack"/>
      <w:bookmarkEnd w:id="0"/>
      <w:r w:rsidRPr="001D427E">
        <w:rPr>
          <w:rFonts w:ascii="Times New Roman" w:hAnsi="Times New Roman" w:cs="Times New Roman"/>
        </w:rPr>
        <w:t xml:space="preserve"> года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941"/>
        <w:gridCol w:w="2404"/>
      </w:tblGrid>
      <w:tr w:rsidR="00A8486F" w:rsidRPr="001D427E" w:rsidTr="00D94951">
        <w:tc>
          <w:tcPr>
            <w:tcW w:w="9345" w:type="dxa"/>
            <w:gridSpan w:val="2"/>
          </w:tcPr>
          <w:p w:rsidR="00A8486F" w:rsidRPr="001D427E" w:rsidRDefault="003B5594" w:rsidP="003A17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6. Правительству Российской Федерации при разработке национального проекта в сфере жилья и городской среды исходить из того, что в 2024 году необходимо обеспечить: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3B5594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BE3B73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</w:t>
            </w:r>
            <w:r w:rsidR="00BE3B73" w:rsidRPr="001D427E">
              <w:rPr>
                <w:rFonts w:ascii="Times New Roman" w:hAnsi="Times New Roman" w:cs="Times New Roman"/>
              </w:rPr>
              <w:t xml:space="preserve">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ставка по которому должна быть менее 8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91785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объема жилищного строительства не менее чем до 120 млн. квадратных метров в год;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917857" w:rsidP="0091785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повышение комфортности городской среды, повышение индекса качества городской среды на 30 процентов, сокращение в соответствии с этим индексом количества городов с неблагоприятной средой в два раза;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городской среды, до 30 процентов;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3B5594" w:rsidP="003B559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устойчивого сокращения непригодного для проживания жилищного фонда;</w:t>
            </w:r>
          </w:p>
        </w:tc>
        <w:tc>
          <w:tcPr>
            <w:tcW w:w="2404" w:type="dxa"/>
            <w:vAlign w:val="center"/>
          </w:tcPr>
          <w:p w:rsidR="00917857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3B5594" w:rsidRPr="001D427E" w:rsidTr="00BE3B73">
        <w:tc>
          <w:tcPr>
            <w:tcW w:w="6941" w:type="dxa"/>
            <w:vAlign w:val="center"/>
          </w:tcPr>
          <w:p w:rsidR="003B5594" w:rsidRPr="001D427E" w:rsidRDefault="003B5594" w:rsidP="003B5594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выполняется /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невыполняется</w:t>
            </w:r>
            <w:proofErr w:type="spellEnd"/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совершенствование механизмов финансирования жилищного строительства, в том числе посредством развития рынка ипотечных ценных бумаг и поэтапного перехода от привлечения денежных средств для долевого строительства многоквартирных домов и иных объектов недвижимости к другим формам финансирования жилищного строительства, обеспечивающим защиту прав граждан и снижение рисков для них;</w:t>
            </w:r>
          </w:p>
        </w:tc>
        <w:tc>
          <w:tcPr>
            <w:tcW w:w="2404" w:type="dxa"/>
            <w:vAlign w:val="center"/>
          </w:tcPr>
          <w:p w:rsidR="003B5594" w:rsidRPr="001D427E" w:rsidRDefault="003B5594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5594" w:rsidRPr="001D427E" w:rsidTr="00BE3B73">
        <w:tc>
          <w:tcPr>
            <w:tcW w:w="6941" w:type="dxa"/>
          </w:tcPr>
          <w:p w:rsidR="003B5594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жилья;</w:t>
            </w:r>
          </w:p>
        </w:tc>
        <w:tc>
          <w:tcPr>
            <w:tcW w:w="2404" w:type="dxa"/>
            <w:vAlign w:val="center"/>
          </w:tcPr>
          <w:p w:rsidR="003B5594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917857" w:rsidRPr="001D427E" w:rsidTr="00BE3B73">
        <w:tc>
          <w:tcPr>
            <w:tcW w:w="6941" w:type="dxa"/>
          </w:tcPr>
          <w:p w:rsidR="00917857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административной нагрузки на застройщиков, совершенствование нормативно-правовой базы и порядка регулирования деятельности в сфере жилищного строительства;</w:t>
            </w:r>
          </w:p>
        </w:tc>
        <w:tc>
          <w:tcPr>
            <w:tcW w:w="2404" w:type="dxa"/>
            <w:vAlign w:val="center"/>
          </w:tcPr>
          <w:p w:rsidR="00917857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обеспечение эффективного использования земель в целях массового жилищного строительства при условии сохранения и развития зеленого фонда и территорий, на которых располагаются природные объекты, имеющие экологическое, историко-культурное, рекреационное, оздоровительное и иное ценное значение;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развития комфортной городской среды, комплексного развития городов и других населенных пунктов с учетом индекса качества городской среды;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BE3B73" w:rsidP="00BE3B7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      </w:r>
          </w:p>
        </w:tc>
        <w:tc>
          <w:tcPr>
            <w:tcW w:w="2404" w:type="dxa"/>
            <w:vAlign w:val="center"/>
          </w:tcPr>
          <w:p w:rsidR="00BE3B73" w:rsidRPr="001D427E" w:rsidRDefault="00BE3B7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576CF3">
        <w:tc>
          <w:tcPr>
            <w:tcW w:w="9345" w:type="dxa"/>
            <w:gridSpan w:val="2"/>
          </w:tcPr>
          <w:p w:rsidR="00B264CA" w:rsidRPr="001D427E" w:rsidRDefault="00B264CA" w:rsidP="00B264C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Пункт 7. Правительству Российской Федерации при разработке национального проекта в сфере экологии исходить из того, что в 2024 году необходимо обеспечить:</w:t>
            </w:r>
          </w:p>
        </w:tc>
      </w:tr>
      <w:tr w:rsidR="00BE3B73" w:rsidRPr="001D427E" w:rsidTr="00BE3B73">
        <w:tc>
          <w:tcPr>
            <w:tcW w:w="6941" w:type="dxa"/>
          </w:tcPr>
          <w:p w:rsidR="00BE3B73" w:rsidRPr="001D427E" w:rsidRDefault="003A175E" w:rsidP="003A175E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3A175E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E3B73" w:rsidRPr="001D427E" w:rsidRDefault="003A175E" w:rsidP="003A17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эффективное обращение с отходами производства и потребления, включая ликвидацию всех выявленных на 1 января 2018 г. несанкционированных свалок в границах городов;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кардинальное снижение уровня загрязнения атмосферного воздуха в крупных промышленных центрах, в том числе уменьшение не менее чем на 20 процентов совокупного объема выбросов загрязняющих веществ в атмосферный воздух в наиболее загрязненных городах;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BE3B73">
        <w:tc>
          <w:tcPr>
            <w:tcW w:w="6941" w:type="dxa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для населения, в том числе для жителей населенных пунктов, не оборудованных современными системами централизованного водоснабжения;</w:t>
            </w:r>
          </w:p>
        </w:tc>
        <w:tc>
          <w:tcPr>
            <w:tcW w:w="2404" w:type="dxa"/>
            <w:vAlign w:val="center"/>
          </w:tcPr>
          <w:p w:rsidR="00B264CA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экологическое оздоровление водных объектов, включая реку Волгу, и сохранение уникальных водных систем, включая озера Байкал и Телецкое;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D521DB" w:rsidP="00D521D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сохранение биологического разнообразия, в том числе посредством создания не менее 24 новых особо охраняемых природных территорий;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B264CA" w:rsidRPr="001D427E" w:rsidTr="00D521DB">
        <w:tc>
          <w:tcPr>
            <w:tcW w:w="6941" w:type="dxa"/>
            <w:vAlign w:val="center"/>
          </w:tcPr>
          <w:p w:rsidR="00B264CA" w:rsidRPr="001D427E" w:rsidRDefault="00D521DB" w:rsidP="00D521DB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D521DB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B264CA" w:rsidRPr="001D427E" w:rsidRDefault="00D521DB" w:rsidP="00D521D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формирование комплексной системы обращения с твердыми коммунальными отходами, включая ликвидацию свалок и рекультивацию территорий, на которых они размещены, создание условий для вторичной переработки всех запрещенных к захоронению отходов производства и потребления;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и эффективное функционирование во всех субъектах Российской Федерации системы общественного контроля, направленной на выявление и ликвидацию несанкционированных свалок;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D521DB" w:rsidRPr="001D427E" w:rsidTr="00BE3B73">
        <w:tc>
          <w:tcPr>
            <w:tcW w:w="6941" w:type="dxa"/>
          </w:tcPr>
          <w:p w:rsidR="00D521DB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современной инфраструктуры, обеспечивающей безопасное обращение с отходами I и II классов опасности, и ликвидация наиболее опасных объектов накопленного экологического вреда;</w:t>
            </w:r>
          </w:p>
        </w:tc>
        <w:tc>
          <w:tcPr>
            <w:tcW w:w="2404" w:type="dxa"/>
            <w:vAlign w:val="center"/>
          </w:tcPr>
          <w:p w:rsidR="00D521DB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реализация комплексных планов мероприятий по снижению выбросов загрязняющих веществ в атмосферный воздух в крупных промышленных центрах, включая города Братск, Красноярск, Липецк, Магнитогорск, Медногорск, Нижний Тагил, Новокузнецк, Норильск, Омск, Челябинск, Череповец и Читу, с учетом сводных расчетов допустимого в этих городах негативного воздействия на окружающую среду;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всеми объектами, оказывающими значительное негативное воздействие на окружающую среду, системы экологического регулирования, основанной на использовании наилучших доступных технологий;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экологическая реабилитация водных объектов, в том числе реализация проекта, направленного на сокращение в три раза доли загрязненных сточных вод, отводимых в реку Волгу, устойчивое функционирование водохозяйственного комплекса Нижней Волги и сохранение экосистемы Волго-</w:t>
            </w:r>
            <w:proofErr w:type="spellStart"/>
            <w:r w:rsidRPr="001D427E">
              <w:rPr>
                <w:rFonts w:ascii="Times New Roman" w:hAnsi="Times New Roman" w:cs="Times New Roman"/>
              </w:rPr>
              <w:t>Ахтубинской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поймы; 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сохранение уникальных водных объектов, в том числе реализация проекта по сохранению озера Байкал, а также мероприятий по очистке от мусора берегов и прибрежной акватории озер Байкал, Телецкое, Ладожское, Онежское и рек Волги, Дона, Оби, Енисея, Амура, Урала, Печоры;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78566D" w:rsidP="0078566D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сохранение биологического разнообразия, включая увеличение площади особо охраняемых природных территорий на 5 млн. гектаров,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реинтродукцию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редких видов животных, создание инфраструктуры для экологического туризма в национальных парках, а также сохранение лесов, в том числе на основе их воспроизводства на всех участках вырубленных и погибших лесных насаждений.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6D45A3" w:rsidRPr="001D427E" w:rsidTr="00A47E90">
        <w:tc>
          <w:tcPr>
            <w:tcW w:w="9345" w:type="dxa"/>
            <w:gridSpan w:val="2"/>
          </w:tcPr>
          <w:p w:rsidR="006D45A3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8. Правительству Российской Федерации при разработке национального проекта по созданию безопасных и качественных автомобильных дорог исходить из того, что в 2024 году необходимо обеспечить:</w:t>
            </w:r>
          </w:p>
        </w:tc>
      </w:tr>
      <w:tr w:rsidR="0078566D" w:rsidRPr="001D427E" w:rsidTr="001D427E">
        <w:tc>
          <w:tcPr>
            <w:tcW w:w="6941" w:type="dxa"/>
            <w:vAlign w:val="center"/>
          </w:tcPr>
          <w:p w:rsidR="0078566D" w:rsidRPr="001D427E" w:rsidRDefault="006D45A3" w:rsidP="001D427E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достижение следующих целей и целевых показателей: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увеличение доли автомобильных дорог регионального значения, соответствующих нормативным требованиям, в их общей протяженности не менее чем до 50 процентов (относительно их протяженности по состоянию на 31 декабря 2017 г.), а также утверждение органами государственной власти субъектов Российской Федерации таких нормативов исходя из установленных на федеральном уровне требований безопасности автомобильных дорог;</w:t>
            </w:r>
          </w:p>
        </w:tc>
        <w:tc>
          <w:tcPr>
            <w:tcW w:w="2404" w:type="dxa"/>
            <w:vAlign w:val="center"/>
          </w:tcPr>
          <w:p w:rsidR="0078566D" w:rsidRPr="001D427E" w:rsidRDefault="001D427E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доли автомобильных дорог федерального и регионального значения, работающих в режиме перегрузки, в их общей протяженности на 10 процентов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78566D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количества мест концентрации дорожно-транспортных происшествий (аварийно-опасных участков) на дорожной сети в два раза по сравнению с 2017 годом;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BE3B73">
        <w:tc>
          <w:tcPr>
            <w:tcW w:w="6941" w:type="dxa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снижение смертности в результате дорожно-транспортных происшествий в 3,5 раза по сравнению с 2017 годом - до уровня, не превышающего четырех человек на 100 тыс. населения (к 2030 году - стремление к нулевому уровню смертности);</w:t>
            </w:r>
          </w:p>
        </w:tc>
        <w:tc>
          <w:tcPr>
            <w:tcW w:w="2404" w:type="dxa"/>
            <w:vAlign w:val="center"/>
          </w:tcPr>
          <w:p w:rsidR="0078566D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78566D" w:rsidRPr="001D427E" w:rsidTr="006D45A3">
        <w:tc>
          <w:tcPr>
            <w:tcW w:w="6941" w:type="dxa"/>
            <w:vAlign w:val="center"/>
          </w:tcPr>
          <w:p w:rsidR="0078566D" w:rsidRPr="001D427E" w:rsidRDefault="006D45A3" w:rsidP="006D45A3">
            <w:pPr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решение следующих задач: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78566D" w:rsidRPr="001D427E" w:rsidRDefault="006D45A3" w:rsidP="006D45A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в крупнейших городских агломерациях доли автомобильных дорог, соответствующих нормативным требованиям, в их общей протяженности до 85 процентов;</w:t>
            </w:r>
          </w:p>
        </w:tc>
        <w:tc>
          <w:tcPr>
            <w:tcW w:w="2404" w:type="dxa"/>
            <w:vAlign w:val="center"/>
          </w:tcPr>
          <w:p w:rsidR="006D45A3" w:rsidRPr="001D427E" w:rsidRDefault="006D45A3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45A3" w:rsidRPr="001D427E" w:rsidTr="00BE3B73">
        <w:tc>
          <w:tcPr>
            <w:tcW w:w="6941" w:type="dxa"/>
          </w:tcPr>
          <w:p w:rsidR="006D45A3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применение новых механизмов развития и эксплуатации дорожной сети, включая использование инфраструктурной ипотеки, контрактов жизненного цикла, наилучших технологий и материалов;</w:t>
            </w:r>
          </w:p>
        </w:tc>
        <w:tc>
          <w:tcPr>
            <w:tcW w:w="2404" w:type="dxa"/>
            <w:vAlign w:val="center"/>
          </w:tcPr>
          <w:p w:rsidR="006D45A3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доведение норматива зачисления налоговых доходов бюджетов субъектов Российской Федерации от акцизов на горюче-смазочные материалы до 100 процентов;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общедоступной информационной системы контроля за формированием и использованием средств дорожных фондов всех уровней (в 2019 году);</w:t>
            </w:r>
          </w:p>
        </w:tc>
        <w:tc>
          <w:tcPr>
            <w:tcW w:w="2404" w:type="dxa"/>
            <w:vAlign w:val="center"/>
          </w:tcPr>
          <w:p w:rsidR="00411307" w:rsidRPr="001D427E" w:rsidRDefault="00411307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создание механизмов экономического стимулирования сохранности автомобильных дорог регионального и местного значения;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новых технических требований и стандартов обустройства автомобильных дорог, в том числе на основе цифровых технологий, направленных на устранение мест концентрации дорожно-транспортных происшествий;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внедрение автоматизированных и роботизированных технологий организации дорожного движения и контроля за соблюдением правил дорожного движения;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</w:p>
        </w:tc>
      </w:tr>
      <w:tr w:rsidR="00411307" w:rsidRPr="001D427E" w:rsidTr="00BE3B73">
        <w:tc>
          <w:tcPr>
            <w:tcW w:w="6941" w:type="dxa"/>
          </w:tcPr>
          <w:p w:rsidR="00411307" w:rsidRPr="001D427E" w:rsidRDefault="00411307" w:rsidP="00411307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усиление ответственности водителей за нарушение правил дорожного движения, а также повышение требований к уровню их профессиональной подготовки.</w:t>
            </w:r>
          </w:p>
        </w:tc>
        <w:tc>
          <w:tcPr>
            <w:tcW w:w="2404" w:type="dxa"/>
            <w:vAlign w:val="center"/>
          </w:tcPr>
          <w:p w:rsidR="00411307" w:rsidRPr="001D427E" w:rsidRDefault="00BF31FF" w:rsidP="00BE3B73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EB4134" w:rsidRPr="001D427E" w:rsidTr="00DE1A74">
        <w:tc>
          <w:tcPr>
            <w:tcW w:w="9345" w:type="dxa"/>
            <w:gridSpan w:val="2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пункт 15. Правительству Российской Федерации на основе стратегии пространственного развития Российской Федерации разработать с участием органов государственной власти субъектов Российской Федерации и до 1 октября 2018 г. утвердить комплексный план модернизации и расширения магистральной инфраструктуры, предусматривающий обеспечение в 2024 году: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а) развития транспортных коридоров "Запад - Восток" и "Север - Юг" для перевозки грузов, в том числе за счет: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строительства и модернизации российских участков автомобильных дорог, относящихся к международному транспортному маршруту "Европа - Западный Китай";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EB4134" w:rsidP="00EB413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мощностей морских портов Российской Федерации, включая порты Дальневосточного, Северо-Западного, Волго-Каспийского и Азово-Черноморского бассейнов;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Северного морского пути и увеличения грузопотока по нему до 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сокращения времени перевозки контейнеров железнодорожным транспортом, в частности с Дальнего Востока до западной границы Российской Федерации до семи дней, и увеличения объема транзитных перевозок контейнеров железнодорожным транспортом в четыре раза;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формирования узловых грузовых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мультимодальных</w:t>
            </w:r>
            <w:proofErr w:type="spellEnd"/>
            <w:r w:rsidRPr="001D427E">
              <w:rPr>
                <w:rFonts w:ascii="Times New Roman" w:hAnsi="Times New Roman" w:cs="Times New Roman"/>
              </w:rPr>
              <w:t xml:space="preserve"> транспортно-логистических центров;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Байкало-Амурской и Транссибирской железнодорожных магистралей в полтора раза, до 180 млн. тонн;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железнодорожных подходов к морским портам Азово-Черноморского бассейна;</w:t>
            </w:r>
          </w:p>
        </w:tc>
        <w:tc>
          <w:tcPr>
            <w:tcW w:w="2404" w:type="dxa"/>
            <w:vAlign w:val="center"/>
          </w:tcPr>
          <w:p w:rsidR="00EB4134" w:rsidRPr="001D427E" w:rsidRDefault="00EB4134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4134" w:rsidRPr="001D427E" w:rsidTr="00BE3B73">
        <w:tc>
          <w:tcPr>
            <w:tcW w:w="6941" w:type="dxa"/>
          </w:tcPr>
          <w:p w:rsidR="00EB4134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б) повышения уровня экономической связанности территории Российской Федерации посредством расширения и модернизации железнодорожной, авиационной, автодорожной, морской и речной инфраструктуры, в том числе за счет:</w:t>
            </w:r>
          </w:p>
        </w:tc>
        <w:tc>
          <w:tcPr>
            <w:tcW w:w="2404" w:type="dxa"/>
            <w:vAlign w:val="center"/>
          </w:tcPr>
          <w:p w:rsidR="004C6465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EB4134" w:rsidRPr="001D427E" w:rsidRDefault="004C6465" w:rsidP="004C64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1D22C3" w:rsidP="001D22C3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поэтапного развития транспортных коммуникаций между административными центрами субъектов Российской Федерации и другими городами - центрами экономического роста, включая ликвидацию инфраструктурных ограничений на имеющих перспективы развития территориях, прилегающих к таким транспортным коммуникациям;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реконструкции инфраструктуры региональных аэропортов и расширения сети межрегиональных регулярных пассажирских авиационных маршрутов, минуя Москву, до 50 процентов от общего количества внутренних регулярных авиационных маршрутов;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22C3" w:rsidRPr="001D427E" w:rsidTr="00BE3B73">
        <w:tc>
          <w:tcPr>
            <w:tcW w:w="6941" w:type="dxa"/>
          </w:tcPr>
          <w:p w:rsidR="001D22C3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создания основы для развития скоростного и высокоскоростного железнодорожного сообщения между крупными городами;</w:t>
            </w:r>
          </w:p>
        </w:tc>
        <w:tc>
          <w:tcPr>
            <w:tcW w:w="2404" w:type="dxa"/>
            <w:vAlign w:val="center"/>
          </w:tcPr>
          <w:p w:rsidR="001D22C3" w:rsidRPr="001D427E" w:rsidRDefault="001D22C3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633879" w:rsidP="00633879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увеличения пропускной способности внутренних водных путей;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AF618C" w:rsidP="00AF618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в) гарантированного обеспечения доступной электроэнергией, в том числе за счет:</w:t>
            </w:r>
          </w:p>
        </w:tc>
        <w:tc>
          <w:tcPr>
            <w:tcW w:w="2404" w:type="dxa"/>
            <w:vAlign w:val="center"/>
          </w:tcPr>
          <w:p w:rsidR="00AF618C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выполняется /</w:t>
            </w:r>
          </w:p>
          <w:p w:rsidR="00633879" w:rsidRPr="001D427E" w:rsidRDefault="00AF618C" w:rsidP="00AF618C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не выполняется</w:t>
            </w:r>
            <w:r w:rsidR="001D427E">
              <w:rPr>
                <w:rFonts w:ascii="Times New Roman" w:hAnsi="Times New Roman" w:cs="Times New Roman"/>
              </w:rPr>
              <w:t>*</w:t>
            </w: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электрификации транспортных коридоров "Запад - Восток" и "Север - Юг", включая Байкало-Амурскую и Транссибирскую железнодорожные магистрали, во взаимосвязи с развитием транспортной инфраструктуры;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33879" w:rsidRPr="001D427E" w:rsidTr="00BE3B73">
        <w:tc>
          <w:tcPr>
            <w:tcW w:w="6941" w:type="dxa"/>
          </w:tcPr>
          <w:p w:rsidR="00633879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развития централизованных энергосистем, включая модернизацию генерирующих мощностей тепловых, атомных и гидроэлектростанций в соответствии с потребностями социально-экономического развития;</w:t>
            </w:r>
          </w:p>
        </w:tc>
        <w:tc>
          <w:tcPr>
            <w:tcW w:w="2404" w:type="dxa"/>
            <w:vAlign w:val="center"/>
          </w:tcPr>
          <w:p w:rsidR="00633879" w:rsidRPr="001D427E" w:rsidRDefault="00633879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lastRenderedPageBreak/>
              <w:t>устойчивого энергоснабжения потребителей на территориях субъектов Российской Федерации, прежде всего Республики Крым, г. Севастополя, Калининградской области, а также субъектов Российской Федерации, входящих в состав Дальневосточного федерального округа;</w:t>
            </w:r>
          </w:p>
        </w:tc>
        <w:tc>
          <w:tcPr>
            <w:tcW w:w="2404" w:type="dxa"/>
            <w:vAlign w:val="center"/>
          </w:tcPr>
          <w:p w:rsidR="004E034C" w:rsidRPr="001D427E" w:rsidRDefault="004E034C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 xml:space="preserve">развития распределенной генерации, в том числе на основе возобновляемых источников энергии, в первую очередь в удаленных и изолированных </w:t>
            </w:r>
            <w:proofErr w:type="spellStart"/>
            <w:r w:rsidRPr="001D427E">
              <w:rPr>
                <w:rFonts w:ascii="Times New Roman" w:hAnsi="Times New Roman" w:cs="Times New Roman"/>
              </w:rPr>
              <w:t>энергорайонах</w:t>
            </w:r>
            <w:proofErr w:type="spellEnd"/>
            <w:r w:rsidRPr="001D427E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  <w:tr w:rsidR="004E034C" w:rsidRPr="001D427E" w:rsidTr="00BE3B73">
        <w:tc>
          <w:tcPr>
            <w:tcW w:w="6941" w:type="dxa"/>
          </w:tcPr>
          <w:p w:rsidR="004E034C" w:rsidRPr="001D427E" w:rsidRDefault="004E034C" w:rsidP="004E034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</w:rPr>
            </w:pPr>
            <w:r w:rsidRPr="001D427E">
              <w:rPr>
                <w:rFonts w:ascii="Times New Roman" w:hAnsi="Times New Roman" w:cs="Times New Roman"/>
              </w:rPr>
              <w:t>внедрения интеллектуальных систем управления электросетевым хозяйством на базе цифровых технологий.</w:t>
            </w:r>
          </w:p>
        </w:tc>
        <w:tc>
          <w:tcPr>
            <w:tcW w:w="2404" w:type="dxa"/>
            <w:vAlign w:val="center"/>
          </w:tcPr>
          <w:p w:rsidR="004E034C" w:rsidRPr="001D427E" w:rsidRDefault="00BF31FF" w:rsidP="00EB41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</w:t>
            </w:r>
            <w:r w:rsidRPr="001D427E">
              <w:rPr>
                <w:rFonts w:ascii="Times New Roman" w:hAnsi="Times New Roman" w:cs="Times New Roman"/>
              </w:rPr>
              <w:t>выполняется</w:t>
            </w:r>
          </w:p>
        </w:tc>
      </w:tr>
    </w:tbl>
    <w:p w:rsidR="00A8486F" w:rsidRDefault="00A8486F" w:rsidP="00331285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</w:p>
    <w:p w:rsidR="00DD3B6E" w:rsidRPr="00DD3B6E" w:rsidRDefault="001D427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Примечание:</w:t>
      </w:r>
    </w:p>
    <w:p w:rsidR="00DD3B6E" w:rsidRPr="00DD3B6E" w:rsidRDefault="00DD3B6E" w:rsidP="00DD3B6E">
      <w:pPr>
        <w:pStyle w:val="a3"/>
        <w:jc w:val="both"/>
        <w:rPr>
          <w:rFonts w:ascii="Times New Roman" w:hAnsi="Times New Roman" w:cs="Times New Roman"/>
        </w:rPr>
      </w:pPr>
      <w:r w:rsidRPr="00DD3B6E">
        <w:rPr>
          <w:rFonts w:ascii="Times New Roman" w:hAnsi="Times New Roman" w:cs="Times New Roman"/>
        </w:rPr>
        <w:t>*-</w:t>
      </w:r>
      <w:r w:rsidR="001D427E" w:rsidRPr="00DD3B6E">
        <w:rPr>
          <w:rFonts w:ascii="Times New Roman" w:hAnsi="Times New Roman" w:cs="Times New Roman"/>
        </w:rPr>
        <w:t xml:space="preserve"> при отсутствии </w:t>
      </w:r>
      <w:r w:rsidRPr="00DD3B6E">
        <w:rPr>
          <w:rFonts w:ascii="Times New Roman" w:hAnsi="Times New Roman" w:cs="Times New Roman"/>
        </w:rPr>
        <w:t>в муниципальном образовании «Каргасокский район показателей, решение которых предусмотрено Указом Президента Российской Федерации от 07.05.2018 №204 «О национальных целях и стратегических задачах развития Российской Федерации на период до 2024 года»</w:t>
      </w:r>
      <w:r>
        <w:rPr>
          <w:rFonts w:ascii="Times New Roman" w:hAnsi="Times New Roman" w:cs="Times New Roman"/>
        </w:rPr>
        <w:t>, информация о выполнении / невыполнении мероприятия не заполняется</w:t>
      </w:r>
    </w:p>
    <w:p w:rsidR="00331285" w:rsidRPr="00AF75E5" w:rsidRDefault="00331285" w:rsidP="00DD3B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31285" w:rsidRPr="00AF7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80"/>
    <w:rsid w:val="000529FF"/>
    <w:rsid w:val="001B6FEC"/>
    <w:rsid w:val="001D22C3"/>
    <w:rsid w:val="001D427E"/>
    <w:rsid w:val="00331285"/>
    <w:rsid w:val="003A175E"/>
    <w:rsid w:val="003B5594"/>
    <w:rsid w:val="00411307"/>
    <w:rsid w:val="004C6465"/>
    <w:rsid w:val="004E034C"/>
    <w:rsid w:val="00633879"/>
    <w:rsid w:val="006D45A3"/>
    <w:rsid w:val="0078566D"/>
    <w:rsid w:val="00917857"/>
    <w:rsid w:val="009865AC"/>
    <w:rsid w:val="00990B39"/>
    <w:rsid w:val="00A8486F"/>
    <w:rsid w:val="00AF618C"/>
    <w:rsid w:val="00AF75E5"/>
    <w:rsid w:val="00B264CA"/>
    <w:rsid w:val="00BE3B73"/>
    <w:rsid w:val="00BF31FF"/>
    <w:rsid w:val="00C219DD"/>
    <w:rsid w:val="00CA7621"/>
    <w:rsid w:val="00D521DB"/>
    <w:rsid w:val="00D61472"/>
    <w:rsid w:val="00D96FB8"/>
    <w:rsid w:val="00DD3B6E"/>
    <w:rsid w:val="00EB4134"/>
    <w:rsid w:val="00FA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80A0F"/>
  <w15:chartTrackingRefBased/>
  <w15:docId w15:val="{315A66B0-121E-447A-B067-CE14EF2CF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75E5"/>
    <w:pPr>
      <w:spacing w:after="0" w:line="240" w:lineRule="auto"/>
    </w:pPr>
  </w:style>
  <w:style w:type="table" w:styleId="a4">
    <w:name w:val="Table Grid"/>
    <w:basedOn w:val="a1"/>
    <w:uiPriority w:val="39"/>
    <w:rsid w:val="00A84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 Валери. Шевченко</dc:creator>
  <cp:keywords/>
  <dc:description/>
  <cp:lastModifiedBy>Вита Валери. Шевченко</cp:lastModifiedBy>
  <cp:revision>28</cp:revision>
  <dcterms:created xsi:type="dcterms:W3CDTF">2023-04-12T04:47:00Z</dcterms:created>
  <dcterms:modified xsi:type="dcterms:W3CDTF">2024-04-18T04:22:00Z</dcterms:modified>
</cp:coreProperties>
</file>