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72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ОТЧЕТ</w:t>
      </w:r>
      <w:r w:rsidR="000529FF" w:rsidRPr="001D427E">
        <w:rPr>
          <w:rFonts w:ascii="Times New Roman" w:hAnsi="Times New Roman" w:cs="Times New Roman"/>
        </w:rPr>
        <w:t xml:space="preserve"> </w:t>
      </w:r>
    </w:p>
    <w:p w:rsidR="00D96FB8" w:rsidRPr="001D427E" w:rsidRDefault="00D61472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муниципального образования «Каргасокский район»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о результатах работы по реализации мероприятий в соответствии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 xml:space="preserve">с пунктами 6,7,8,15 Указа Президента Российской Федерации от 07.05.2018 №204 «О национальных целях и стратегических задачах развития 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Российской Федерации на период до 2024 года»</w:t>
      </w:r>
    </w:p>
    <w:p w:rsidR="000529FF" w:rsidRPr="001D427E" w:rsidRDefault="000529FF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 xml:space="preserve">за </w:t>
      </w:r>
      <w:r w:rsidR="00D80EE2">
        <w:rPr>
          <w:rFonts w:ascii="Times New Roman" w:hAnsi="Times New Roman" w:cs="Times New Roman"/>
        </w:rPr>
        <w:t>2</w:t>
      </w:r>
      <w:r w:rsidRPr="001D427E">
        <w:rPr>
          <w:rFonts w:ascii="Times New Roman" w:hAnsi="Times New Roman" w:cs="Times New Roman"/>
        </w:rPr>
        <w:t xml:space="preserve"> квартал 202</w:t>
      </w:r>
      <w:r w:rsidR="00990B39">
        <w:rPr>
          <w:rFonts w:ascii="Times New Roman" w:hAnsi="Times New Roman" w:cs="Times New Roman"/>
        </w:rPr>
        <w:t>4</w:t>
      </w:r>
      <w:r w:rsidRPr="001D427E">
        <w:rPr>
          <w:rFonts w:ascii="Times New Roman" w:hAnsi="Times New Roman" w:cs="Times New Roman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A8486F" w:rsidRPr="001D427E" w:rsidTr="00D94951">
        <w:tc>
          <w:tcPr>
            <w:tcW w:w="9345" w:type="dxa"/>
            <w:gridSpan w:val="2"/>
          </w:tcPr>
          <w:p w:rsidR="00A8486F" w:rsidRPr="001D427E" w:rsidRDefault="003B5594" w:rsidP="003A1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Пункт 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      </w: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3B5594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BE3B73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</w:t>
            </w:r>
            <w:r w:rsidR="00BE3B73" w:rsidRPr="001D427E">
              <w:rPr>
                <w:rFonts w:ascii="Times New Roman" w:hAnsi="Times New Roman" w:cs="Times New Roman"/>
              </w:rPr>
              <w:t xml:space="preserve">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      </w:r>
          </w:p>
        </w:tc>
        <w:tc>
          <w:tcPr>
            <w:tcW w:w="2404" w:type="dxa"/>
            <w:vAlign w:val="center"/>
          </w:tcPr>
          <w:p w:rsidR="00917857" w:rsidRPr="001D427E" w:rsidRDefault="0091785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увеличение объема жилищного строительства не менее чем до 120 млн. квадратных метров в год;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кардинальное повышение комфортности городской среды, повышение индекса качества городской среды на </w:t>
            </w:r>
            <w:bookmarkStart w:id="0" w:name="_GoBack"/>
            <w:bookmarkEnd w:id="0"/>
            <w:r w:rsidRPr="001D427E">
              <w:rPr>
                <w:rFonts w:ascii="Times New Roman" w:hAnsi="Times New Roman" w:cs="Times New Roman"/>
              </w:rPr>
              <w:t>30 процентов, сокращение в соответствии с этим индексом количества городов с неблагоприятной средой в два раза;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3B5594" w:rsidP="003B55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3B5594" w:rsidP="003B55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устойчивого сокращения непригодного для проживания жилищного фонда;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3B5594" w:rsidRPr="001D427E" w:rsidTr="00BE3B73">
        <w:tc>
          <w:tcPr>
            <w:tcW w:w="6941" w:type="dxa"/>
            <w:vAlign w:val="center"/>
          </w:tcPr>
          <w:p w:rsidR="003B5594" w:rsidRPr="001D427E" w:rsidRDefault="003B5594" w:rsidP="003B559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выполняется / </w:t>
            </w:r>
            <w:proofErr w:type="spellStart"/>
            <w:r w:rsidRPr="001D427E">
              <w:rPr>
                <w:rFonts w:ascii="Times New Roman" w:hAnsi="Times New Roman" w:cs="Times New Roman"/>
              </w:rPr>
              <w:t>невыполняется</w:t>
            </w:r>
            <w:proofErr w:type="spellEnd"/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      </w:r>
          </w:p>
        </w:tc>
        <w:tc>
          <w:tcPr>
            <w:tcW w:w="2404" w:type="dxa"/>
            <w:vAlign w:val="center"/>
          </w:tcPr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      </w:r>
          </w:p>
        </w:tc>
        <w:tc>
          <w:tcPr>
            <w:tcW w:w="2404" w:type="dxa"/>
            <w:vAlign w:val="center"/>
          </w:tcPr>
          <w:p w:rsidR="003B5594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      </w:r>
          </w:p>
        </w:tc>
        <w:tc>
          <w:tcPr>
            <w:tcW w:w="2404" w:type="dxa"/>
            <w:vAlign w:val="center"/>
          </w:tcPr>
          <w:p w:rsidR="00917857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576CF3">
        <w:tc>
          <w:tcPr>
            <w:tcW w:w="9345" w:type="dxa"/>
            <w:gridSpan w:val="2"/>
          </w:tcPr>
          <w:p w:rsidR="00B264CA" w:rsidRPr="001D427E" w:rsidRDefault="00B264CA" w:rsidP="00B264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Пункт 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3A175E" w:rsidP="003A175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3A175E" w:rsidRPr="001D427E" w:rsidRDefault="003A175E" w:rsidP="003A17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BE3B73" w:rsidRPr="001D427E" w:rsidRDefault="003A175E" w:rsidP="003A17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экологическое оздоровление водных объектов, включая реку Волгу, и сохранение уникальных водных систем, включая озера Байкал и Телецкое;</w:t>
            </w:r>
          </w:p>
        </w:tc>
        <w:tc>
          <w:tcPr>
            <w:tcW w:w="2404" w:type="dxa"/>
            <w:vAlign w:val="center"/>
          </w:tcPr>
          <w:p w:rsidR="00D521DB" w:rsidRPr="001D427E" w:rsidRDefault="00D521DB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сохранение биологического разнообразия, в том числе посредством создания не менее 24 новых особо охраняемых природных территорий;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D521DB">
        <w:tc>
          <w:tcPr>
            <w:tcW w:w="6941" w:type="dxa"/>
            <w:vAlign w:val="center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D521DB" w:rsidRPr="001D427E" w:rsidRDefault="00D521DB" w:rsidP="00D5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B264CA" w:rsidRPr="001D427E" w:rsidRDefault="00D521DB" w:rsidP="00D5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</w:t>
            </w:r>
            <w:proofErr w:type="spellStart"/>
            <w:r w:rsidRPr="001D427E">
              <w:rPr>
                <w:rFonts w:ascii="Times New Roman" w:hAnsi="Times New Roman" w:cs="Times New Roman"/>
              </w:rPr>
              <w:t>Ахтубинской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поймы; 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сохранение биологического разнообразия, включая увеличение площади особо охраняемых природных территорий на 5 млн. гектаров, </w:t>
            </w:r>
            <w:proofErr w:type="spellStart"/>
            <w:r w:rsidRPr="001D427E">
              <w:rPr>
                <w:rFonts w:ascii="Times New Roman" w:hAnsi="Times New Roman" w:cs="Times New Roman"/>
              </w:rPr>
              <w:t>реинтродукцию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6D45A3" w:rsidRPr="001D427E" w:rsidTr="00A47E90">
        <w:tc>
          <w:tcPr>
            <w:tcW w:w="9345" w:type="dxa"/>
            <w:gridSpan w:val="2"/>
          </w:tcPr>
          <w:p w:rsidR="006D45A3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      </w:r>
          </w:p>
        </w:tc>
      </w:tr>
      <w:tr w:rsidR="0078566D" w:rsidRPr="001D427E" w:rsidTr="001D427E">
        <w:tc>
          <w:tcPr>
            <w:tcW w:w="6941" w:type="dxa"/>
            <w:vAlign w:val="center"/>
          </w:tcPr>
          <w:p w:rsidR="0078566D" w:rsidRPr="001D427E" w:rsidRDefault="006D45A3" w:rsidP="001D42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78566D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      </w:r>
          </w:p>
        </w:tc>
        <w:tc>
          <w:tcPr>
            <w:tcW w:w="2404" w:type="dxa"/>
            <w:vAlign w:val="center"/>
          </w:tcPr>
          <w:p w:rsidR="0078566D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      </w:r>
          </w:p>
        </w:tc>
        <w:tc>
          <w:tcPr>
            <w:tcW w:w="2404" w:type="dxa"/>
            <w:vAlign w:val="center"/>
          </w:tcPr>
          <w:p w:rsidR="0078566D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6D45A3">
        <w:tc>
          <w:tcPr>
            <w:tcW w:w="6941" w:type="dxa"/>
            <w:vAlign w:val="center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78566D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6D45A3" w:rsidRPr="001D427E" w:rsidTr="00BE3B73">
        <w:tc>
          <w:tcPr>
            <w:tcW w:w="6941" w:type="dxa"/>
          </w:tcPr>
          <w:p w:rsidR="006D45A3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5A3" w:rsidRPr="001D427E" w:rsidTr="00BE3B73">
        <w:tc>
          <w:tcPr>
            <w:tcW w:w="6941" w:type="dxa"/>
          </w:tcPr>
          <w:p w:rsidR="006D45A3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</w:p>
        </w:tc>
        <w:tc>
          <w:tcPr>
            <w:tcW w:w="2404" w:type="dxa"/>
            <w:vAlign w:val="center"/>
          </w:tcPr>
          <w:p w:rsidR="006D45A3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доведение норматива зачисления налоговых доходов бюджетов субъектов Российской Федерации от акцизов на горюче-смазочные материалы до 100 процентов;</w:t>
            </w:r>
          </w:p>
        </w:tc>
        <w:tc>
          <w:tcPr>
            <w:tcW w:w="2404" w:type="dxa"/>
            <w:vAlign w:val="center"/>
          </w:tcPr>
          <w:p w:rsidR="00411307" w:rsidRPr="001D427E" w:rsidRDefault="0041130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общедоступной информационной системы контроля за формированием и использованием средств дорожных фондов всех уровней (в 2019 году);</w:t>
            </w:r>
          </w:p>
        </w:tc>
        <w:tc>
          <w:tcPr>
            <w:tcW w:w="2404" w:type="dxa"/>
            <w:vAlign w:val="center"/>
          </w:tcPr>
          <w:p w:rsidR="00411307" w:rsidRPr="001D427E" w:rsidRDefault="0041130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экономического стимулирования сохранности автомобильных дорог регионального и местного значения;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EB4134" w:rsidRPr="001D427E" w:rsidTr="00DE1A74">
        <w:tc>
          <w:tcPr>
            <w:tcW w:w="9345" w:type="dxa"/>
            <w:gridSpan w:val="2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пункт 15. Правительству Российской Федерации на основе стратегии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план модернизации и расширения магистральной инфраструктуры, предусматривающий обеспечение в 2024 году:</w:t>
            </w: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развития транспортных коридоров "Запад - Восток" и "Север - Юг" для перевозки грузов, в том числе за счет: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строительства и модернизации российских участков автомобильных дорог, относящихся к международному транспортному маршруту "Европа - Западный Китай";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развития Северного морского пути и увеличения грузопотока по нему до 80 млн. тонн;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формирования узловых грузовых </w:t>
            </w:r>
            <w:proofErr w:type="spellStart"/>
            <w:r w:rsidRPr="001D427E">
              <w:rPr>
                <w:rFonts w:ascii="Times New Roman" w:hAnsi="Times New Roman" w:cs="Times New Roman"/>
              </w:rPr>
              <w:t>мультимодальных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транспортно-логистических центров;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Байкало-Амурской и Транссибирской железнодорожных магистралей в полтора раза, до 180 млн. тонн;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железнодорожных подходов к морским портам Азово-Черноморского бассейна;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      </w:r>
          </w:p>
        </w:tc>
        <w:tc>
          <w:tcPr>
            <w:tcW w:w="2404" w:type="dxa"/>
            <w:vAlign w:val="center"/>
          </w:tcPr>
          <w:p w:rsidR="004C6465" w:rsidRPr="001D427E" w:rsidRDefault="004C6465" w:rsidP="004C64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EB4134" w:rsidRPr="001D427E" w:rsidRDefault="004C6465" w:rsidP="004C64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создания основы для развития скоростного и высокоскоростного железнодорожного сообщения между крупными городами;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внутренних водных путей;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AF618C" w:rsidP="00AF618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в) гарантированного обеспечения доступной электроэнергией, в том числе за счет:</w:t>
            </w:r>
          </w:p>
        </w:tc>
        <w:tc>
          <w:tcPr>
            <w:tcW w:w="2404" w:type="dxa"/>
            <w:vAlign w:val="center"/>
          </w:tcPr>
          <w:p w:rsidR="00AF618C" w:rsidRPr="001D427E" w:rsidRDefault="00AF618C" w:rsidP="00AF61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633879" w:rsidRPr="001D427E" w:rsidRDefault="00AF618C" w:rsidP="00AF61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устойчивого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Дальневосточного федерального округа;</w:t>
            </w:r>
          </w:p>
        </w:tc>
        <w:tc>
          <w:tcPr>
            <w:tcW w:w="2404" w:type="dxa"/>
            <w:vAlign w:val="center"/>
          </w:tcPr>
          <w:p w:rsidR="004E034C" w:rsidRPr="001D427E" w:rsidRDefault="004E034C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развития распределенной генерации, в том числе на основе возобновляемых источников энергии, в первую очередь в удаленных и изолированных </w:t>
            </w:r>
            <w:proofErr w:type="spellStart"/>
            <w:r w:rsidRPr="001D427E">
              <w:rPr>
                <w:rFonts w:ascii="Times New Roman" w:hAnsi="Times New Roman" w:cs="Times New Roman"/>
              </w:rPr>
              <w:t>энергорайонах</w:t>
            </w:r>
            <w:proofErr w:type="spellEnd"/>
            <w:r w:rsidRPr="001D427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04" w:type="dxa"/>
            <w:vAlign w:val="center"/>
          </w:tcPr>
          <w:p w:rsidR="004E034C" w:rsidRPr="001D427E" w:rsidRDefault="00BF31FF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внедрения интеллектуальных систем управления электросетевым хозяйством на базе цифровых технологий.</w:t>
            </w:r>
          </w:p>
        </w:tc>
        <w:tc>
          <w:tcPr>
            <w:tcW w:w="2404" w:type="dxa"/>
            <w:vAlign w:val="center"/>
          </w:tcPr>
          <w:p w:rsidR="004E034C" w:rsidRPr="001D427E" w:rsidRDefault="00BF31FF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</w:tbl>
    <w:p w:rsidR="00A8486F" w:rsidRDefault="00A8486F" w:rsidP="0033128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D3B6E" w:rsidRPr="00DD3B6E" w:rsidRDefault="001D427E" w:rsidP="00DD3B6E">
      <w:pPr>
        <w:pStyle w:val="a3"/>
        <w:jc w:val="both"/>
        <w:rPr>
          <w:rFonts w:ascii="Times New Roman" w:hAnsi="Times New Roman" w:cs="Times New Roman"/>
        </w:rPr>
      </w:pPr>
      <w:r w:rsidRPr="00DD3B6E">
        <w:rPr>
          <w:rFonts w:ascii="Times New Roman" w:hAnsi="Times New Roman" w:cs="Times New Roman"/>
        </w:rPr>
        <w:t>Примечание:</w:t>
      </w:r>
    </w:p>
    <w:p w:rsidR="00DD3B6E" w:rsidRPr="00DD3B6E" w:rsidRDefault="00DD3B6E" w:rsidP="00DD3B6E">
      <w:pPr>
        <w:pStyle w:val="a3"/>
        <w:jc w:val="both"/>
        <w:rPr>
          <w:rFonts w:ascii="Times New Roman" w:hAnsi="Times New Roman" w:cs="Times New Roman"/>
        </w:rPr>
      </w:pPr>
      <w:r w:rsidRPr="00DD3B6E">
        <w:rPr>
          <w:rFonts w:ascii="Times New Roman" w:hAnsi="Times New Roman" w:cs="Times New Roman"/>
        </w:rPr>
        <w:t>*-</w:t>
      </w:r>
      <w:r w:rsidR="001D427E" w:rsidRPr="00DD3B6E">
        <w:rPr>
          <w:rFonts w:ascii="Times New Roman" w:hAnsi="Times New Roman" w:cs="Times New Roman"/>
        </w:rPr>
        <w:t xml:space="preserve"> при отсутствии </w:t>
      </w:r>
      <w:r w:rsidRPr="00DD3B6E">
        <w:rPr>
          <w:rFonts w:ascii="Times New Roman" w:hAnsi="Times New Roman" w:cs="Times New Roman"/>
        </w:rPr>
        <w:t>в муниципальном образовании «Каргасокский район показателей, решение которых предусмотрено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 w:cs="Times New Roman"/>
        </w:rPr>
        <w:t>, информация о выполнении / невыполнении мероприятия не заполняется</w:t>
      </w:r>
    </w:p>
    <w:p w:rsidR="00331285" w:rsidRPr="00AF75E5" w:rsidRDefault="00331285" w:rsidP="00DD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1285" w:rsidRPr="00AF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80"/>
    <w:rsid w:val="000529FF"/>
    <w:rsid w:val="001B6FEC"/>
    <w:rsid w:val="001D22C3"/>
    <w:rsid w:val="001D427E"/>
    <w:rsid w:val="00201AD0"/>
    <w:rsid w:val="00331285"/>
    <w:rsid w:val="003A175E"/>
    <w:rsid w:val="003B5594"/>
    <w:rsid w:val="00411307"/>
    <w:rsid w:val="00444F71"/>
    <w:rsid w:val="004C6465"/>
    <w:rsid w:val="004E034C"/>
    <w:rsid w:val="00633879"/>
    <w:rsid w:val="006D45A3"/>
    <w:rsid w:val="0078566D"/>
    <w:rsid w:val="00917857"/>
    <w:rsid w:val="009865AC"/>
    <w:rsid w:val="00990B39"/>
    <w:rsid w:val="00A8486F"/>
    <w:rsid w:val="00AF618C"/>
    <w:rsid w:val="00AF75E5"/>
    <w:rsid w:val="00B264CA"/>
    <w:rsid w:val="00BE3B73"/>
    <w:rsid w:val="00BF31FF"/>
    <w:rsid w:val="00C219DD"/>
    <w:rsid w:val="00CA7621"/>
    <w:rsid w:val="00D521DB"/>
    <w:rsid w:val="00D61472"/>
    <w:rsid w:val="00D80EE2"/>
    <w:rsid w:val="00D96FB8"/>
    <w:rsid w:val="00DD3B6E"/>
    <w:rsid w:val="00EB4134"/>
    <w:rsid w:val="00F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E2D2"/>
  <w15:chartTrackingRefBased/>
  <w15:docId w15:val="{315A66B0-121E-447A-B067-CE14EF2C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5E5"/>
    <w:pPr>
      <w:spacing w:after="0" w:line="240" w:lineRule="auto"/>
    </w:pPr>
  </w:style>
  <w:style w:type="table" w:styleId="a4">
    <w:name w:val="Table Grid"/>
    <w:basedOn w:val="a1"/>
    <w:uiPriority w:val="39"/>
    <w:rsid w:val="00A8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Валери. Шевченко</dc:creator>
  <cp:keywords/>
  <dc:description/>
  <cp:lastModifiedBy>Вита Валери. Шевченко</cp:lastModifiedBy>
  <cp:revision>31</cp:revision>
  <dcterms:created xsi:type="dcterms:W3CDTF">2023-04-12T04:47:00Z</dcterms:created>
  <dcterms:modified xsi:type="dcterms:W3CDTF">2025-01-16T03:50:00Z</dcterms:modified>
</cp:coreProperties>
</file>