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685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54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28"/>
          <w:u w:val="single"/>
        </w:rPr>
      </w:pPr>
      <w:r>
        <w:rPr>
          <w:rFonts w:ascii="PT Astra Serif" w:hAnsi="PT Astra Serif" w:cs="PT Astra Serif"/>
          <w:b/>
          <w:sz w:val="28"/>
          <w:u w:val="single"/>
        </w:rPr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АНТИНАРКОТИЧЕСКАЯ КОМИССИЯ </w: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КАРГАСОКСКОГО РАЙОНА </w:t>
      </w:r>
      <w:r>
        <w:rPr>
          <w:rFonts w:ascii="PT Astra Serif" w:hAnsi="PT Astra Serif" w:cs="PT Astra Serif"/>
        </w:rPr>
      </w:r>
      <w:r/>
    </w:p>
    <w:p>
      <w:pPr>
        <w:ind w:right="-2"/>
        <w:jc w:val="center"/>
        <w:rPr>
          <w:rFonts w:ascii="PT Astra Serif" w:hAnsi="PT Astra Serif" w:cs="PT Astra Serif"/>
          <w:b/>
          <w:sz w:val="32"/>
          <w:szCs w:val="32"/>
        </w:rPr>
      </w:pPr>
      <w:r>
        <w:rPr>
          <w:rFonts w:ascii="PT Astra Serif" w:hAnsi="PT Astra Serif" w:cs="PT Astra Serif"/>
          <w:b/>
          <w:sz w:val="32"/>
          <w:szCs w:val="32"/>
        </w:rPr>
        <w:t xml:space="preserve">ТОМСКОЙ ОБЛАСТИ</w:t>
      </w:r>
      <w:r>
        <w:rPr>
          <w:rFonts w:ascii="PT Astra Serif" w:hAnsi="PT Astra Serif" w:cs="PT Astra Serif"/>
        </w:rPr>
      </w:r>
      <w:r/>
    </w:p>
    <w:p>
      <w:pPr>
        <w:ind w:right="-2"/>
        <w:rPr>
          <w:rFonts w:ascii="PT Astra Serif" w:hAnsi="PT Astra Serif" w:cs="PT Astra Serif"/>
          <w:b/>
          <w:sz w:val="12"/>
        </w:rPr>
      </w:pPr>
      <w:r>
        <w:rPr>
          <w:rFonts w:ascii="PT Astra Serif" w:hAnsi="PT Astra Serif" w:cs="PT Astra Serif"/>
          <w:b/>
          <w:sz w:val="12"/>
        </w:rPr>
      </w:r>
      <w:r>
        <w:rPr>
          <w:rFonts w:ascii="PT Astra Serif" w:hAnsi="PT Astra Serif" w:cs="PT Astra Serif"/>
        </w:rPr>
      </w:r>
      <w:r/>
    </w:p>
    <w:p>
      <w:pPr>
        <w:pStyle w:val="903"/>
        <w:rPr>
          <w:rFonts w:ascii="PT Astra Serif" w:hAnsi="PT Astra Serif" w:cs="PT Astra Serif"/>
          <w:sz w:val="10"/>
          <w:szCs w:val="10"/>
        </w:rPr>
      </w:pPr>
      <w:r>
        <w:rPr>
          <w:rFonts w:ascii="PT Astra Serif" w:hAnsi="PT Astra Serif" w:cs="PT Astra Serif"/>
          <w:sz w:val="10"/>
          <w:szCs w:val="10"/>
        </w:rPr>
      </w:r>
      <w:r>
        <w:rPr>
          <w:rFonts w:ascii="PT Astra Serif" w:hAnsi="PT Astra Serif" w:cs="PT Astra Serif"/>
        </w:rPr>
      </w:r>
      <w:r/>
    </w:p>
    <w:p>
      <w:pPr>
        <w:pStyle w:val="903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ПРОТОКОЛ №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3</w:t>
      </w:r>
      <w:r>
        <w:rPr>
          <w:rFonts w:ascii="PT Astra Serif" w:hAnsi="PT Astra Serif" w:cs="PT Astra Serif"/>
          <w:b/>
          <w:bCs/>
          <w:sz w:val="26"/>
          <w:szCs w:val="26"/>
        </w:rPr>
      </w:r>
      <w:r/>
    </w:p>
    <w:p>
      <w:pPr>
        <w:ind w:right="-2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  <w:t xml:space="preserve">«25»</w:t>
      </w:r>
      <w:r>
        <w:rPr>
          <w:rFonts w:ascii="PT Astra Serif" w:hAnsi="PT Astra Serif" w:cs="PT Astra Serif"/>
          <w:sz w:val="26"/>
          <w:szCs w:val="26"/>
        </w:rPr>
        <w:t xml:space="preserve"> сентября 202</w:t>
      </w:r>
      <w:r>
        <w:rPr>
          <w:rFonts w:ascii="PT Astra Serif" w:hAnsi="PT Astra Serif" w:cs="PT Astra Serif"/>
          <w:sz w:val="26"/>
          <w:szCs w:val="26"/>
        </w:rPr>
        <w:t xml:space="preserve">4 года</w:t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ab/>
        <w:t xml:space="preserve">             </w:t>
      </w:r>
      <w:r>
        <w:rPr>
          <w:rFonts w:ascii="PT Astra Serif" w:hAnsi="PT Astra Serif" w:cs="PT Astra Serif"/>
          <w:sz w:val="26"/>
          <w:szCs w:val="26"/>
        </w:rPr>
        <w:t xml:space="preserve">с. Каргасок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Время проведения 11-00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/>
    </w:p>
    <w:tbl>
      <w:tblPr>
        <w:tblStyle w:val="75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Заместитель председателя комиссии: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Герасимов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Сергей Иванович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Заместитель Главы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Члены комиссии: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Шамраев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Александр Федорович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Заместитель Главы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Филюк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Константин Владимирович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Н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ачальник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ОМВД России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по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аргасокскому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району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Холодова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Юлия Борисовна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Начальник филиала ФКУ УИИ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УФСИН России по ТО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Денщикова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t xml:space="preserve">Ольга Ивановна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Главный специалист – секретарь                                                                                                                                                       Каргасокской комиссии по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делам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несовершеннолетних и защите их прав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95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Широков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Дмитрий Валерьевич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t xml:space="preserve">В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  <w:t xml:space="preserve">рач психиатр - нарколог ОГБУЗ </w:t>
            </w:r>
            <w:r>
              <w:rPr>
                <w:rFonts w:ascii="PT Astra Serif" w:hAnsi="PT Astra Serif" w:cs="PT Astra Serif"/>
                <w:sz w:val="26"/>
                <w:szCs w:val="26"/>
                <w:highlight w:val="white"/>
              </w:rPr>
              <w:t xml:space="preserve">«Каргасокская РБ»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Захарова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  <w:t xml:space="preserve">Елена Константиновна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Главный специалист отдела дополнительного образования и воспитательной работы УООиП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35" w:leader="none"/>
                <w:tab w:val="left" w:pos="4819" w:leader="none"/>
              </w:tabs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tabs>
                <w:tab w:val="left" w:pos="4035" w:leader="none"/>
                <w:tab w:val="left" w:pos="4819" w:leader="none"/>
              </w:tabs>
              <w:rPr>
                <w:rFonts w:ascii="PT Astra Serif" w:hAnsi="PT Astra Serif" w:cs="PT Astra Serif"/>
                <w:b/>
                <w:bCs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Риндевич                                                       </w:t>
            </w: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Наталья Сергеевна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Секретарь комиссии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  <w:p>
            <w:pPr>
              <w:contextualSpacing w:val="0"/>
              <w:jc w:val="left"/>
              <w:spacing w:line="283" w:lineRule="atLeast"/>
              <w:shd w:val="clear" w:color="ffffff" w:themeColor="background1" w:fill="ffffff" w:themeFill="background1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/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6"/>
          <w:szCs w:val="26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6"/>
          <w:szCs w:val="26"/>
          <w:u w:val="single"/>
        </w:rPr>
        <w:t xml:space="preserve">Вопросы повестки заседания Комиссии: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1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5"/>
        <w:numPr>
          <w:ilvl w:val="0"/>
          <w:numId w:val="38"/>
        </w:numPr>
        <w:contextualSpacing w:val="0"/>
        <w:ind w:left="0" w:right="0" w:firstLine="709"/>
        <w:jc w:val="both"/>
        <w:spacing w:line="283" w:lineRule="atLeast"/>
        <w:tabs>
          <w:tab w:val="left" w:pos="992" w:leader="none"/>
        </w:tabs>
        <w:rPr>
          <w:sz w:val="26"/>
          <w:szCs w:val="26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Об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ит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огах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проведения мероприятий по уничтожению очагов произрастания наркосодержащих растений,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разработанных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дополнительных мерах </w:t>
        <w:br/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по своевременному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уничтожению очагов дикорастущей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конопли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 на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собственных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территори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ях,</w:t>
      </w:r>
      <w:r>
        <w:rPr>
          <w:rFonts w:ascii="PT Astra Serif" w:hAnsi="PT Astra Serif" w:cs="PT Astra Serif"/>
          <w:sz w:val="26"/>
          <w:szCs w:val="26"/>
        </w:rPr>
        <w:t xml:space="preserve"> проведенной разъяснительной работы с населением, землевла</w:t>
      </w:r>
      <w:r>
        <w:rPr>
          <w:rFonts w:ascii="PT Astra Serif" w:hAnsi="PT Astra Serif" w:cs="PT Astra Serif"/>
          <w:sz w:val="26"/>
          <w:szCs w:val="26"/>
        </w:rPr>
        <w:t xml:space="preserve">дельцами и землепользователями</w:t>
      </w:r>
      <w:r>
        <w:rPr>
          <w:rFonts w:ascii="PT Astra Serif" w:hAnsi="PT Astra Serif" w:cs="PT Astra Serif"/>
          <w:sz w:val="26"/>
          <w:szCs w:val="26"/>
        </w:rPr>
        <w:t xml:space="preserve"> о необходимости уничтожения дикорастущих наркосодержащих растений на подконтрольных земельных участках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Итоги</w:t>
      </w:r>
      <w:r>
        <w:rPr>
          <w:rFonts w:ascii="PT Astra Serif" w:hAnsi="PT Astra Serif" w:cs="PT Astra Serif"/>
          <w:sz w:val="26"/>
          <w:szCs w:val="26"/>
        </w:rPr>
        <w:t xml:space="preserve"> работы</w:t>
      </w:r>
      <w:r>
        <w:rPr>
          <w:rFonts w:ascii="PT Astra Serif" w:hAnsi="PT Astra Serif" w:cs="PT Astra Serif"/>
          <w:sz w:val="26"/>
          <w:szCs w:val="26"/>
        </w:rPr>
        <w:t xml:space="preserve"> по выявлению и уничтожению очаг</w:t>
      </w:r>
      <w:r>
        <w:rPr>
          <w:rFonts w:ascii="PT Astra Serif" w:hAnsi="PT Astra Serif" w:cs="PT Astra Serif"/>
          <w:sz w:val="26"/>
          <w:szCs w:val="26"/>
        </w:rPr>
        <w:t xml:space="preserve">ов произрастания наркосодержащих растений, в том числе итоги</w:t>
      </w:r>
      <w:r>
        <w:rPr>
          <w:rFonts w:ascii="PT Astra Serif" w:hAnsi="PT Astra Serif" w:cs="PT Astra Serif"/>
          <w:sz w:val="26"/>
          <w:szCs w:val="26"/>
        </w:rPr>
        <w:t xml:space="preserve"> обследования территорий заброшенных сельскохозяйственных ферм и земель сельскохозяйственного назначения.</w:t>
      </w:r>
      <w:r>
        <w:rPr>
          <w:sz w:val="26"/>
          <w:szCs w:val="26"/>
        </w:rPr>
      </w:r>
      <w:r/>
    </w:p>
    <w:p>
      <w:pPr>
        <w:pStyle w:val="924"/>
        <w:ind w:left="0" w:right="0" w:firstLine="709"/>
        <w:jc w:val="both"/>
        <w:spacing w:after="0" w:line="283" w:lineRule="atLeast"/>
        <w:tabs>
          <w:tab w:val="left" w:pos="850" w:leader="none"/>
        </w:tabs>
      </w:pP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  <w:t xml:space="preserve">2. </w:t>
      </w:r>
      <w:r>
        <w:rPr>
          <w:rFonts w:ascii="PT Astra Serif" w:hAnsi="PT Astra Serif" w:cs="PT Astra Serif"/>
          <w:sz w:val="26"/>
          <w:szCs w:val="26"/>
        </w:rPr>
        <w:t xml:space="preserve">О деятельности по формированию здорового образа жизни </w:t>
      </w:r>
      <w:r>
        <w:rPr>
          <w:rFonts w:ascii="PT Astra Serif" w:hAnsi="PT Astra Serif" w:cs="PT Astra Serif"/>
          <w:sz w:val="26"/>
          <w:szCs w:val="26"/>
        </w:rPr>
        <w:br/>
      </w:r>
      <w:r>
        <w:rPr>
          <w:rFonts w:ascii="PT Astra Serif" w:hAnsi="PT Astra Serif" w:cs="PT Astra Serif"/>
          <w:sz w:val="26"/>
          <w:szCs w:val="26"/>
        </w:rPr>
        <w:t xml:space="preserve">и повышению уровня физкультурно-оздоровительной работы среди молодежи.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6"/>
          <w:szCs w:val="26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6"/>
          <w:szCs w:val="26"/>
          <w:u w:val="single"/>
        </w:rPr>
        <w:t xml:space="preserve">Выступил по первому вопросу</w:t>
      </w:r>
      <w:r>
        <w:rPr>
          <w:rFonts w:ascii="PT Astra Serif" w:hAnsi="PT Astra Serif" w:cs="PT Astra Serif"/>
          <w:sz w:val="26"/>
          <w:szCs w:val="26"/>
          <w:u w:val="single"/>
        </w:rPr>
        <w:t xml:space="preserve"> :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4"/>
          <w:szCs w:val="24"/>
          <w:u w:val="single"/>
        </w:rPr>
        <w:suppressLineNumbers w:val="0"/>
      </w:pPr>
      <w:r>
        <w:rPr>
          <w:rFonts w:ascii="PT Astra Serif" w:hAnsi="PT Astra Serif" w:cs="PT Astra Serif"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6"/>
          <w:szCs w:val="26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sz w:val="26"/>
          <w:szCs w:val="26"/>
          <w:u w:val="single"/>
        </w:rPr>
      </w:r>
      <w:r>
        <w:rPr>
          <w:rFonts w:ascii="PT Astra Serif" w:hAnsi="PT Astra Serif" w:cs="PT Astra Serif"/>
          <w:b/>
          <w:sz w:val="26"/>
          <w:szCs w:val="26"/>
        </w:rPr>
        <w:t xml:space="preserve">Филюк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sz w:val="26"/>
          <w:szCs w:val="26"/>
        </w:rPr>
        <w:t xml:space="preserve">Константин Владимирович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Н</w:t>
      </w:r>
      <w:r>
        <w:rPr>
          <w:rFonts w:ascii="PT Astra Serif" w:hAnsi="PT Astra Serif" w:cs="PT Astra Serif"/>
          <w:sz w:val="26"/>
          <w:szCs w:val="26"/>
        </w:rPr>
        <w:t xml:space="preserve">ачальник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ОМВД России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по</w:t>
      </w:r>
      <w:r>
        <w:rPr>
          <w:rFonts w:ascii="PT Astra Serif" w:hAnsi="PT Astra Serif" w:cs="PT Astra Serif"/>
          <w:sz w:val="26"/>
          <w:szCs w:val="26"/>
        </w:rPr>
        <w:t xml:space="preserve"> К</w:t>
      </w:r>
      <w:r>
        <w:rPr>
          <w:rFonts w:ascii="PT Astra Serif" w:hAnsi="PT Astra Serif" w:cs="PT Astra Serif"/>
          <w:sz w:val="26"/>
          <w:szCs w:val="26"/>
        </w:rPr>
        <w:t xml:space="preserve">аргасокскому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району.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Опера</w:t>
      </w:r>
      <w:r>
        <w:rPr>
          <w:rFonts w:ascii="PT Astra Serif" w:hAnsi="PT Astra Serif" w:cs="PT Astra Serif"/>
          <w:sz w:val="26"/>
          <w:szCs w:val="26"/>
        </w:rPr>
        <w:t xml:space="preserve">тивная обстановка на территории Каргасокского района характеризуется ростом зарегистрированных преступлений в сфере незаконного оборота наркотиков на 100%</w:t>
      </w:r>
      <w:r>
        <w:rPr>
          <w:rFonts w:ascii="PT Astra Serif" w:hAnsi="PT Astra Serif" w:cs="PT Astra Serif"/>
          <w:sz w:val="26"/>
          <w:szCs w:val="26"/>
        </w:rPr>
        <w:t xml:space="preserve"> (с 0 до 2), все категории тяжких и особо тяжких преступлений.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 сфере незаконного оборота наркотич</w:t>
      </w:r>
      <w:r>
        <w:rPr>
          <w:rFonts w:ascii="PT Astra Serif" w:hAnsi="PT Astra Serif" w:cs="PT Astra Serif"/>
          <w:sz w:val="26"/>
          <w:szCs w:val="26"/>
        </w:rPr>
        <w:t xml:space="preserve">еских средств в текущем периоде 2024 года выявлено 2 преступления (АППГ-О), раскрыто З (АППГ-0), все сбытовые составы, привлечено 2 лица к уголовной ответственнос</w:t>
      </w:r>
      <w:r>
        <w:rPr>
          <w:rFonts w:ascii="PT Astra Serif" w:hAnsi="PT Astra Serif" w:cs="PT Astra Serif"/>
          <w:sz w:val="26"/>
          <w:szCs w:val="26"/>
        </w:rPr>
        <w:t xml:space="preserve">ти. Уголовные дела по данным фактам расследованы и направлены в суд.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Из незаконного оборота нар</w:t>
      </w:r>
      <w:r>
        <w:rPr>
          <w:rFonts w:ascii="PT Astra Serif" w:hAnsi="PT Astra Serif" w:cs="PT Astra Serif"/>
          <w:sz w:val="26"/>
          <w:szCs w:val="26"/>
        </w:rPr>
        <w:t xml:space="preserve">котических средств и психотропных веществ на территории оперативного обслуживания в текущем периоде 2024 года не изымалось.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По административной практике к ответственности привлечено 4 (</w:t>
      </w:r>
      <w:r>
        <w:rPr>
          <w:rFonts w:ascii="PT Astra Serif" w:hAnsi="PT Astra Serif" w:cs="PT Astra Serif"/>
          <w:sz w:val="26"/>
          <w:szCs w:val="26"/>
        </w:rPr>
        <w:t xml:space="preserve">АППГ</w:t>
      </w:r>
      <w:r>
        <w:rPr>
          <w:rFonts w:ascii="PT Astra Serif" w:hAnsi="PT Astra Serif" w:cs="PT Astra Serif"/>
          <w:sz w:val="26"/>
          <w:szCs w:val="26"/>
        </w:rPr>
        <w:t xml:space="preserve">-4) лица по ч. 1 ст. 6.9 КоАП РФ, З (АППГ-1) по ст. 6.9.1 КоАП РФ. п</w:t>
      </w:r>
      <w:r>
        <w:rPr>
          <w:rFonts w:ascii="PT Astra Serif" w:hAnsi="PT Astra Serif" w:cs="PT Astra Serif"/>
          <w:sz w:val="26"/>
          <w:szCs w:val="26"/>
        </w:rPr>
        <w:t xml:space="preserve">о 6.8 </w:t>
      </w:r>
      <w:r>
        <w:rPr>
          <w:rFonts w:ascii="PT Astra Serif" w:hAnsi="PT Astra Serif" w:cs="PT Astra Serif"/>
          <w:sz w:val="26"/>
          <w:szCs w:val="26"/>
        </w:rPr>
        <w:t xml:space="preserve">КоАП РФ в отчетном периоде, как и в аналогичном периоде прошлого года лица не привлекались.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 период с 19 по 25 августа 2024 года на территории оперативного обслуживания ОМВД России по Каргасокскому району был проведен второй этап оперативно-профилак</w:t>
      </w:r>
      <w:r>
        <w:rPr>
          <w:rFonts w:ascii="PT Astra Serif" w:hAnsi="PT Astra Serif" w:cs="PT Astra Serif"/>
          <w:sz w:val="26"/>
          <w:szCs w:val="26"/>
        </w:rPr>
        <w:t xml:space="preserve">тического мероприятия «Мак-2024». В период </w:t>
      </w:r>
      <w:r>
        <w:rPr>
          <w:rFonts w:ascii="PT Astra Serif" w:hAnsi="PT Astra Serif" w:cs="PT Astra Serif"/>
          <w:sz w:val="26"/>
          <w:szCs w:val="26"/>
        </w:rPr>
        <w:t xml:space="preserve">проведения оперативно-профилактического мероприятия наружные наряды, задействованные в системе единой дислокации, были ориентированы на выявление фактов произрастания наркосодержащих растений, силами сотрудников оперативных подразделений и участковых уполн</w:t>
      </w:r>
      <w:r>
        <w:rPr>
          <w:rFonts w:ascii="PT Astra Serif" w:hAnsi="PT Astra Serif" w:cs="PT Astra Serif"/>
          <w:sz w:val="26"/>
          <w:szCs w:val="26"/>
        </w:rPr>
        <w:t xml:space="preserve">омоченных полиции в ходе повседневной деятельности осуществлялся визуальный осмотр как участков граждан, так и территории учреждений, расположенных на территории Каргасокского района Томской области, на предмет выявления фактов выращивания наркосодержащих </w:t>
      </w:r>
      <w:r>
        <w:rPr>
          <w:rFonts w:ascii="PT Astra Serif" w:hAnsi="PT Astra Serif" w:cs="PT Astra Serif"/>
          <w:sz w:val="26"/>
          <w:szCs w:val="26"/>
        </w:rPr>
        <w:t xml:space="preserve">растений и уничтожения таких растений, определение владельцев земельных участков и вынесения предписаний об их уничтожении владельцам участков. В ходе проведенных мероприятий фактов произрастания растений, содержащих наркотические вещества, на территории о</w:t>
      </w:r>
      <w:r>
        <w:rPr>
          <w:rFonts w:ascii="PT Astra Serif" w:hAnsi="PT Astra Serif" w:cs="PT Astra Serif"/>
          <w:sz w:val="26"/>
          <w:szCs w:val="26"/>
        </w:rPr>
        <w:t xml:space="preserve">перативного обслуживания не выявлено.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spacing w:after="0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</w:rPr>
        <w:t xml:space="preserve">В целях информирования о правовых и медицинских последствиях, связанных с незаконными действиями и немедицинским потреблением наркотических средств и психотропных веществ сотрудниками ОМВД России по Каргасокскому район</w:t>
      </w:r>
      <w:r>
        <w:rPr>
          <w:rFonts w:ascii="PT Astra Serif" w:hAnsi="PT Astra Serif" w:cs="PT Astra Serif"/>
          <w:sz w:val="26"/>
          <w:szCs w:val="26"/>
        </w:rPr>
        <w:t xml:space="preserve">у 26.06.2</w:t>
      </w:r>
      <w:r>
        <w:rPr>
          <w:rFonts w:ascii="PT Astra Serif" w:hAnsi="PT Astra Serif" w:cs="PT Astra Serif"/>
          <w:sz w:val="26"/>
          <w:szCs w:val="26"/>
        </w:rPr>
        <w:t xml:space="preserve">024 года в ОГБПОУ «КТПРТ» организована и проведена лекция на указанную тему с 18 обучающимися и 5 сотрудниками техникума. 28.06.2024 года проведено профилактическое мероприятие с замещающими родителями и подопечными на базе ОГКУ «ЦСПСиД Каргасокского район</w:t>
      </w:r>
      <w:r>
        <w:rPr>
          <w:rFonts w:ascii="PT Astra Serif" w:hAnsi="PT Astra Serif" w:cs="PT Astra Serif"/>
          <w:sz w:val="26"/>
          <w:szCs w:val="26"/>
        </w:rPr>
        <w:t xml:space="preserve">а». Также в газете «Северная правда» выпуск № 58 от 24.07.2024 года была размещена информация об ответственности за культивирование наркосодержащих растений и неприятие мер по уничтожению таких растений.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14" w:right="43" w:firstLine="695"/>
        <w:jc w:val="both"/>
        <w:spacing w:after="0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Проводились профилактические мероприятия такие, как «Мак», «Стоп наркотики», «Сообщи, где торгуют смертью», оповещение через СМИ, через телеграмк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анал Администрации Каргасокского района, так же сотрудниками полиции производятся рассылки посредством мессенджеров среди круга знакомых и родственников, для дальнейшего распространения информации. Информации в рамках акции «Сообщи, где торгуют смертью» в </w:t>
      </w:r>
      <w:r>
        <w:rPr>
          <w:rFonts w:ascii="PT Astra Serif" w:hAnsi="PT Astra Serif" w:cs="PT Astra Serif"/>
          <w:sz w:val="26"/>
          <w:szCs w:val="26"/>
        </w:rPr>
        <w:t xml:space="preserve">ОМВД России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по</w:t>
      </w:r>
      <w:r>
        <w:rPr>
          <w:rFonts w:ascii="PT Astra Serif" w:hAnsi="PT Astra Serif" w:cs="PT Astra Serif"/>
          <w:sz w:val="26"/>
          <w:szCs w:val="26"/>
        </w:rPr>
        <w:t xml:space="preserve"> К</w:t>
      </w:r>
      <w:r>
        <w:rPr>
          <w:rFonts w:ascii="PT Astra Serif" w:hAnsi="PT Astra Serif" w:cs="PT Astra Serif"/>
          <w:sz w:val="26"/>
          <w:szCs w:val="26"/>
        </w:rPr>
        <w:t xml:space="preserve">аргасокскому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району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, как правило не поступает. Также на территории района не было зарегистрировано объявлений на административных зданиях с информацией о сайте и номерах телефонов, где можно приобрести наркотические вещества.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sz w:val="26"/>
          <w:szCs w:val="26"/>
          <w:u w:val="single"/>
        </w:rPr>
        <w:t xml:space="preserve">Широков Дмитрий Валерьевич</w:t>
      </w:r>
      <w:r>
        <w:rPr>
          <w:rFonts w:ascii="PT Astra Serif" w:hAnsi="PT Astra Serif" w:cs="PT Astra Serif"/>
          <w:b/>
          <w:sz w:val="26"/>
          <w:szCs w:val="26"/>
        </w:rPr>
        <w:t xml:space="preserve"> -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рач психиатр - нарколог ОГБУЗ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«Каргасокская РБ»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6"/>
          <w:szCs w:val="26"/>
          <w:highlight w:val="white"/>
        </w:rPr>
        <w:t xml:space="preserve">Озвучил проблему 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white"/>
        </w:rPr>
        <w:t xml:space="preserve">выявления 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white"/>
        </w:rPr>
        <w:t xml:space="preserve">реального количества наркопотребителей, связанную со сложностями 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white"/>
        </w:rPr>
        <w:t xml:space="preserve">при прохождении химико-токсикологического исследования, выраженными законодательством в виде конкретных сроков в совокупности с проблемой отдаленности населенных пунктов, что осложняет своевременное прохождение такой экспертизы и затрудняет работу полиции.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/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/>
          <w:bCs/>
          <w:sz w:val="26"/>
          <w:szCs w:val="26"/>
          <w:highlight w:val="yellow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/>
    </w:p>
    <w:p>
      <w:pPr>
        <w:contextualSpacing w:val="0"/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b/>
          <w:bCs/>
          <w:sz w:val="26"/>
          <w:szCs w:val="26"/>
          <w:highlight w:val="yellow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white"/>
        </w:rPr>
        <w:t xml:space="preserve">Ре</w:t>
      </w:r>
      <w:r>
        <w:rPr>
          <w:rFonts w:ascii="PT Astra Serif" w:hAnsi="PT Astra Serif" w:cs="PT Astra Serif"/>
          <w:b/>
          <w:bCs/>
          <w:sz w:val="26"/>
          <w:szCs w:val="26"/>
          <w:highlight w:val="white"/>
        </w:rPr>
        <w:t xml:space="preserve">шение: </w:t>
      </w:r>
      <w:r>
        <w:rPr>
          <w:rFonts w:ascii="PT Astra Serif" w:hAnsi="PT Astra Serif" w:cs="PT Astra Serif"/>
          <w:sz w:val="26"/>
          <w:szCs w:val="26"/>
          <w:highlight w:val="yellow"/>
        </w:rPr>
      </w:r>
      <w:r/>
    </w:p>
    <w:p>
      <w:pPr>
        <w:pStyle w:val="904"/>
        <w:numPr>
          <w:ilvl w:val="1"/>
          <w:numId w:val="42"/>
        </w:numPr>
        <w:ind w:left="0" w:right="0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Информацию </w:t>
      </w:r>
      <w:r>
        <w:rPr>
          <w:rFonts w:ascii="PT Astra Serif" w:hAnsi="PT Astra Serif" w:cs="PT Astra Serif"/>
          <w:sz w:val="26"/>
          <w:szCs w:val="26"/>
        </w:rPr>
        <w:t xml:space="preserve">Н</w:t>
      </w:r>
      <w:r>
        <w:rPr>
          <w:rFonts w:ascii="PT Astra Serif" w:hAnsi="PT Astra Serif" w:cs="PT Astra Serif"/>
          <w:sz w:val="26"/>
          <w:szCs w:val="26"/>
        </w:rPr>
        <w:t xml:space="preserve">ачальника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ОМВД России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по</w:t>
      </w:r>
      <w:r>
        <w:rPr>
          <w:rFonts w:ascii="PT Astra Serif" w:hAnsi="PT Astra Serif" w:cs="PT Astra Serif"/>
          <w:sz w:val="26"/>
          <w:szCs w:val="26"/>
        </w:rPr>
        <w:t xml:space="preserve"> К</w:t>
      </w:r>
      <w:r>
        <w:rPr>
          <w:rFonts w:ascii="PT Astra Serif" w:hAnsi="PT Astra Serif" w:cs="PT Astra Serif"/>
          <w:sz w:val="26"/>
          <w:szCs w:val="26"/>
        </w:rPr>
        <w:t xml:space="preserve">аргасокскому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району</w:t>
      </w:r>
      <w:r>
        <w:rPr>
          <w:rFonts w:ascii="PT Astra Serif" w:hAnsi="PT Astra Serif" w:cs="PT Astra Serif"/>
          <w:sz w:val="26"/>
          <w:szCs w:val="26"/>
        </w:rPr>
        <w:t xml:space="preserve"> (Филюка К.В.) и 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в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рача психиатра - нарколога ОГБУЗ </w:t>
      </w:r>
      <w:r>
        <w:rPr>
          <w:rFonts w:ascii="PT Astra Serif" w:hAnsi="PT Astra Serif" w:cs="PT Astra Serif"/>
          <w:sz w:val="26"/>
          <w:szCs w:val="26"/>
          <w:highlight w:val="white"/>
        </w:rPr>
        <w:t xml:space="preserve">«Каргасокская РБ»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(</w:t>
      </w:r>
      <w:r>
        <w:rPr>
          <w:rFonts w:ascii="PT Astra Serif" w:hAnsi="PT Astra Serif" w:cs="PT Astra Serif"/>
          <w:sz w:val="26"/>
          <w:szCs w:val="26"/>
        </w:rPr>
        <w:t xml:space="preserve">Широкова Д.В.) принять к сведению.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1"/>
          <w:numId w:val="42"/>
        </w:num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6"/>
          <w:szCs w:val="26"/>
          <w:highlight w:val="yellow"/>
        </w:rPr>
        <w:suppressLineNumbers w:val="0"/>
      </w:pPr>
      <w:r>
        <w:rPr>
          <w:rFonts w:ascii="PT Astra Serif" w:hAnsi="PT Astra Serif" w:cs="PT Astra Serif"/>
          <w:sz w:val="26"/>
          <w:szCs w:val="26"/>
        </w:rPr>
        <w:t xml:space="preserve">ОМВД России по Каргасокскому району (Филюку К.В.</w:t>
      </w:r>
      <w:r>
        <w:rPr>
          <w:rFonts w:ascii="PT Astra Serif" w:hAnsi="PT Astra Serif" w:cs="PT Astra Serif"/>
          <w:sz w:val="26"/>
          <w:szCs w:val="26"/>
        </w:rPr>
        <w:t xml:space="preserve">) </w:t>
      </w:r>
      <w:r>
        <w:rPr>
          <w:rFonts w:ascii="PT Astra Serif" w:hAnsi="PT Astra Serif" w:cs="PT Astra Serif"/>
          <w:sz w:val="26"/>
          <w:szCs w:val="26"/>
        </w:rPr>
        <w:t xml:space="preserve">при выявлении </w:t>
      </w:r>
      <w:r>
        <w:rPr>
          <w:rFonts w:ascii="PT Astra Serif" w:hAnsi="PT Astra Serif" w:cs="PT Astra Serif"/>
          <w:sz w:val="26"/>
          <w:szCs w:val="26"/>
        </w:rPr>
        <w:t xml:space="preserve">очагов произрастания дикорастущих </w:t>
      </w:r>
      <w:r>
        <w:rPr>
          <w:rFonts w:ascii="PT Astra Serif" w:hAnsi="PT Astra Serif" w:cs="PT Astra Serif"/>
          <w:sz w:val="26"/>
          <w:szCs w:val="26"/>
        </w:rPr>
        <w:t xml:space="preserve">наркосодержащих</w:t>
      </w:r>
      <w:r>
        <w:rPr>
          <w:rFonts w:ascii="PT Astra Serif" w:hAnsi="PT Astra Serif" w:cs="PT Astra Serif"/>
          <w:sz w:val="26"/>
          <w:szCs w:val="26"/>
        </w:rPr>
        <w:t xml:space="preserve"> растений, уведомлять антинаркотическую Комиссию Каргасокского района для принятия мер незамедлительного реагирования органами местного самоуправления.</w:t>
      </w:r>
      <w:r>
        <w:rPr>
          <w:sz w:val="28"/>
          <w:szCs w:val="28"/>
        </w:rPr>
        <w:t xml:space="preserve">  </w:t>
      </w:r>
      <w:r>
        <w:rPr>
          <w:rFonts w:ascii="PT Astra Serif" w:hAnsi="PT Astra Serif" w:cs="PT Astra Serif"/>
          <w:b/>
          <w:bCs/>
          <w:sz w:val="26"/>
          <w:szCs w:val="26"/>
          <w:highlight w:val="none"/>
          <w:u w:val="single"/>
        </w:rPr>
      </w:r>
      <w:r/>
    </w:p>
    <w:p>
      <w:pPr>
        <w:pStyle w:val="904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6"/>
          <w:szCs w:val="26"/>
          <w:highlight w:val="none"/>
          <w:u w:val="single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  <w:u w:val="single"/>
        </w:rPr>
      </w:r>
      <w:r/>
    </w:p>
    <w:p>
      <w:pPr>
        <w:pStyle w:val="904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6"/>
          <w:szCs w:val="26"/>
          <w:highlight w:val="white"/>
          <w:u w:val="single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white"/>
        </w:rPr>
        <w:t xml:space="preserve">Срок:  </w:t>
      </w:r>
      <w:r>
        <w:rPr>
          <w:rFonts w:ascii="PT Astra Serif" w:hAnsi="PT Astra Serif" w:cs="PT Astra Serif"/>
          <w:b/>
          <w:bCs/>
          <w:sz w:val="26"/>
          <w:szCs w:val="26"/>
          <w:highlight w:val="white"/>
          <w:u w:val="single"/>
        </w:rPr>
        <w:t xml:space="preserve">постоянно</w:t>
      </w:r>
      <w:r>
        <w:rPr>
          <w:highlight w:val="white"/>
        </w:rPr>
      </w:r>
      <w:r/>
    </w:p>
    <w:p>
      <w:pPr>
        <w:pStyle w:val="907"/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white"/>
          <w:u w:val="none"/>
        </w:rPr>
      </w:r>
      <w:r>
        <w:rPr>
          <w:highlight w:val="white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color w:val="auto"/>
          <w:sz w:val="26"/>
          <w:szCs w:val="26"/>
          <w:u w:val="single"/>
        </w:rPr>
        <w:t xml:space="preserve">Выступил</w:t>
      </w:r>
      <w:r>
        <w:rPr>
          <w:rFonts w:ascii="PT Astra Serif" w:hAnsi="PT Astra Serif" w:cs="PT Astra Serif"/>
          <w:color w:val="auto"/>
          <w:sz w:val="26"/>
          <w:szCs w:val="26"/>
          <w:u w:val="single"/>
        </w:rPr>
        <w:t xml:space="preserve"> по </w:t>
      </w:r>
      <w:r>
        <w:rPr>
          <w:rFonts w:ascii="PT Astra Serif" w:hAnsi="PT Astra Serif" w:cs="PT Astra Serif"/>
          <w:color w:val="auto"/>
          <w:sz w:val="26"/>
          <w:szCs w:val="26"/>
          <w:u w:val="single"/>
        </w:rPr>
        <w:t xml:space="preserve">второму</w:t>
      </w:r>
      <w:r>
        <w:rPr>
          <w:rFonts w:ascii="PT Astra Serif" w:hAnsi="PT Astra Serif" w:cs="PT Astra Serif"/>
          <w:color w:val="auto"/>
          <w:sz w:val="26"/>
          <w:szCs w:val="26"/>
          <w:u w:val="single"/>
        </w:rPr>
        <w:t xml:space="preserve"> вопросу</w:t>
      </w:r>
      <w:r>
        <w:rPr>
          <w:rFonts w:ascii="PT Astra Serif" w:hAnsi="PT Astra Serif" w:cs="PT Astra Serif"/>
          <w:color w:val="auto"/>
          <w:sz w:val="26"/>
          <w:szCs w:val="26"/>
          <w:u w:val="single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/>
    </w:p>
    <w:p>
      <w:pPr>
        <w:contextualSpacing w:val="0"/>
        <w:ind w:left="0" w:right="0" w:firstLine="709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none"/>
          <w:u w:val="single"/>
        </w:rPr>
        <w:t xml:space="preserve">Шамраев Александр Фёдорович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 - Заместитель Главы Каргасокского района по социальным вопросам – начальник отдела по социальной работе.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/>
    </w:p>
    <w:p>
      <w:pPr>
        <w:ind w:left="0" w:right="-1" w:firstLine="700"/>
        <w:jc w:val="both"/>
        <w:spacing w:after="0" w:line="252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  <w:highlight w:val="none"/>
        </w:rPr>
        <w:t xml:space="preserve">В ОГБПОУ Каргасокский техникум промышленности и речного транспорта н</w:t>
      </w:r>
      <w:r>
        <w:rPr>
          <w:rFonts w:ascii="PT Astra Serif" w:hAnsi="PT Astra Serif" w:eastAsia="Times New Roman" w:cs="PT Astra Serif"/>
          <w:sz w:val="26"/>
          <w:szCs w:val="26"/>
        </w:rPr>
        <w:t xml:space="preserve">аправление «Здоровье-ориентирующее и спортивное» реализуется посредством включенности в мероприятия на уровне ОГБПОУ «Карг</w:t>
      </w:r>
      <w:r>
        <w:rPr>
          <w:rFonts w:ascii="PT Astra Serif" w:hAnsi="PT Astra Serif" w:eastAsia="Times New Roman" w:cs="PT Astra Serif"/>
          <w:sz w:val="26"/>
          <w:szCs w:val="26"/>
        </w:rPr>
        <w:t xml:space="preserve">асокский техникум промышленности и речного транспорта» социальных партнеров и координацией студенческого сообщества куратором - преподавателем физической культуры.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0" w:right="-1" w:firstLine="700"/>
        <w:jc w:val="both"/>
        <w:spacing w:after="0" w:line="252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В план реализации направления включены локальные, муниципальные, региональные, всероссийские</w:t>
      </w:r>
      <w:r>
        <w:rPr>
          <w:rFonts w:ascii="PT Astra Serif" w:hAnsi="PT Astra Serif" w:eastAsia="Times New Roman" w:cs="PT Astra Serif"/>
          <w:sz w:val="26"/>
          <w:szCs w:val="26"/>
        </w:rPr>
        <w:t xml:space="preserve"> и международные проекты по различным форматам. Что позволяет создать целостность и системность направления.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0" w:right="-1" w:firstLine="700"/>
        <w:jc w:val="both"/>
        <w:spacing w:after="0" w:line="252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Студенты техникума охотно посещают секции в спортивной школе с. Каргасок и СК «Кедр» по различным видам спорта.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0" w:right="-1" w:firstLine="700"/>
        <w:jc w:val="both"/>
        <w:spacing w:after="0" w:line="271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Часть мероприятий, в которых принимают</w:t>
      </w:r>
      <w:r>
        <w:rPr>
          <w:rFonts w:ascii="PT Astra Serif" w:hAnsi="PT Astra Serif" w:eastAsia="Times New Roman" w:cs="PT Astra Serif"/>
          <w:sz w:val="26"/>
          <w:szCs w:val="26"/>
        </w:rPr>
        <w:t xml:space="preserve"> студенты техникума активное участие: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9" w:line="253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Турнир по настольному теннису в личном первенстве среди студентов ОГБПОУ «КТПРТ»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9" w:line="253" w:lineRule="auto"/>
        <w:rPr>
          <w:rFonts w:ascii="PT Astra Serif" w:hAnsi="PT Astra Serif" w:eastAsia="Times New Roman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Первенство ОГБПОУ «КТПРТ» по волейболу, среди учебных групп,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9" w:line="253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Антинаркотическая акция «Родительский урок»</w:t>
      </w:r>
      <w:r>
        <w:rPr>
          <w:rFonts w:ascii="PT Astra Serif" w:hAnsi="PT Astra Serif" w:cs="PT Astra Serif"/>
          <w:sz w:val="26"/>
          <w:szCs w:val="26"/>
        </w:rPr>
        <w:t xml:space="preserve">,</w:t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9" w:line="253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Проведение викторин, лекций по борьбе с курением, алкоголизмом и наркоманией</w:t>
      </w:r>
      <w:r>
        <w:rPr>
          <w:rFonts w:ascii="PT Astra Serif" w:hAnsi="PT Astra Serif" w:cs="PT Astra Serif"/>
          <w:sz w:val="26"/>
          <w:szCs w:val="26"/>
        </w:rPr>
        <w:t xml:space="preserve">,</w:t>
        <w:tab/>
        <w:tab/>
        <w:tab/>
        <w:tab/>
        <w:tab/>
        <w:tab/>
        <w:tab/>
        <w:tab/>
        <w:tab/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9" w:line="253" w:lineRule="auto"/>
        <w:rPr>
          <w:rFonts w:ascii="PT Astra Serif" w:hAnsi="PT Astra Serif" w:eastAsia="Times New Roman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Профилактическая акция «Думай До, а не После»,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9" w:line="253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Всероссийский массовый забег </w:t>
      </w:r>
      <w:r>
        <w:rPr>
          <w:rFonts w:ascii="PT Astra Serif" w:hAnsi="PT Astra Serif" w:eastAsia="Times New Roman" w:cs="PT Astra Serif"/>
          <w:sz w:val="26"/>
          <w:szCs w:val="26"/>
        </w:rPr>
        <w:t xml:space="preserve">«Кросс нации», </w:t>
      </w:r>
      <w:r>
        <w:rPr>
          <w:rFonts w:ascii="PT Astra Serif" w:hAnsi="PT Astra Serif" w:cs="PT Astra Serif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" cy="12193"/>
                <wp:effectExtent l="0" t="0" r="0" b="0"/>
                <wp:docPr id="2" name="Picture 11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849614" name="Picture 1176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144" cy="12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7pt;height: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4"/>
        <w:numPr>
          <w:ilvl w:val="0"/>
          <w:numId w:val="40"/>
        </w:numPr>
        <w:ind w:right="-1"/>
        <w:jc w:val="both"/>
        <w:spacing w:after="21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</w:rPr>
        <w:t xml:space="preserve">Всероссийской массовой лыжной гонки «Лыжня России» в с. Каргасок.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31"/>
        <w:ind w:left="0" w:right="0" w:firstLine="697"/>
        <w:jc w:val="both"/>
        <w:spacing w:after="0" w:afterAutospacing="0" w:line="252" w:lineRule="auto"/>
        <w:widowControl/>
        <w:tabs>
          <w:tab w:val="left" w:pos="283" w:leader="none"/>
        </w:tabs>
        <w:rPr>
          <w:rFonts w:ascii="PT Astra Serif" w:hAnsi="PT Astra Serif" w:cs="PT Astra Serif"/>
          <w:sz w:val="26"/>
          <w:szCs w:val="26"/>
        </w:rPr>
        <w:suppressLineNumbers w:val="0"/>
      </w:pPr>
      <w:r>
        <w:rPr>
          <w:rFonts w:ascii="PT Astra Serif" w:hAnsi="PT Astra Serif" w:cs="PT Astra Serif"/>
          <w:b w:val="0"/>
          <w:sz w:val="26"/>
          <w:szCs w:val="26"/>
        </w:rPr>
        <w:t xml:space="preserve">Ф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ормирование здорового образа жизни и повышения уровня физкультурно-оздоровительной работы в </w:t>
      </w:r>
      <w:r>
        <w:rPr>
          <w:rFonts w:ascii="PT Astra Serif" w:hAnsi="PT Astra Serif" w:cs="PT Astra Serif"/>
          <w:b w:val="0"/>
          <w:bCs w:val="0"/>
          <w:sz w:val="26"/>
          <w:szCs w:val="26"/>
          <w:u w:val="none"/>
        </w:rPr>
        <w:t xml:space="preserve">о</w:t>
      </w:r>
      <w:r>
        <w:rPr>
          <w:rFonts w:ascii="PT Astra Serif" w:hAnsi="PT Astra Serif" w:cs="PT Astra Serif"/>
          <w:b w:val="0"/>
          <w:bCs w:val="0"/>
          <w:sz w:val="26"/>
          <w:szCs w:val="26"/>
          <w:u w:val="none"/>
        </w:rPr>
        <w:t xml:space="preserve">бразовательных организациях </w:t>
      </w:r>
      <w:r>
        <w:rPr>
          <w:rFonts w:ascii="PT Astra Serif" w:hAnsi="PT Astra Serif" w:cs="PT Astra Serif"/>
          <w:b w:val="0"/>
          <w:bCs w:val="0"/>
          <w:sz w:val="26"/>
          <w:szCs w:val="26"/>
          <w:u w:val="none"/>
        </w:rPr>
        <w:t xml:space="preserve">Каргасо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кского района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.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П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роведено в 2023-2024 учебном году 32 м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униципальных спортивно-массовых мероприятия. 1614 (63%) учащихся приняли участие в мероприятиях. Два окружных соревнования с участием спортсменов из ближайших районов. Организованно 19 выездов на офи</w:t>
      </w:r>
      <w:bookmarkStart w:id="0" w:name="undefined"/>
      <w:r>
        <w:rPr>
          <w:rFonts w:ascii="PT Astra Serif" w:hAnsi="PT Astra Serif" w:cs="PT Astra Serif"/>
          <w:sz w:val="26"/>
          <w:szCs w:val="26"/>
        </w:rPr>
      </w:r>
      <w:bookmarkEnd w:id="0"/>
      <w:r>
        <w:rPr>
          <w:rFonts w:ascii="PT Astra Serif" w:hAnsi="PT Astra Serif" w:cs="PT Astra Serif"/>
          <w:b w:val="0"/>
          <w:sz w:val="26"/>
          <w:szCs w:val="26"/>
        </w:rPr>
        <w:t xml:space="preserve">циальные региональные соревнования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,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проводимые Департаментом образования Томской области. Команды образовательных организаций 12 раз выезжали на межрайонные соревнования. Организованно 5 выездов на Всероссийские соревнования. Проведено 154 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внутришкольных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спортивно-массовых мероприяти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я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, в которых приняли участие 1906 (73%) учащихся.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31"/>
        <w:ind w:firstLine="709"/>
        <w:jc w:val="both"/>
        <w:widowControl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 w:val="0"/>
          <w:sz w:val="26"/>
          <w:szCs w:val="26"/>
        </w:rPr>
        <w:t xml:space="preserve">Для предоставления услуги по занятию физической культурой и спорту детям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и молодёжи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с 5 до 18 лет в Каргасокском районе организованы занятия по 57 дополнительным образовательным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программам спортивной направленности. Программы ведутся в каждой школе и детских садах, общий охват занимающихся по этим программам составляет 1052 (45%) учащихся.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31"/>
        <w:ind w:firstLine="709"/>
        <w:jc w:val="both"/>
        <w:widowControl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 w:val="0"/>
          <w:sz w:val="26"/>
          <w:szCs w:val="26"/>
        </w:rPr>
        <w:t xml:space="preserve">В муниципалитете осуществляет свою деятельность по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 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повышению уровня физкультурно-оздоровительной работы учреждение дополнительного образования Каргасокская спортивная школа. В школе проходят обучения 547 уч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ащих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ся по 12 видам спорта.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За 2023-2024 учебный год заняли призовые места во Всероссийских, региональных и окружных соревнованиях в количестве 37 раз. 83 учащи</w:t>
      </w:r>
      <w:r>
        <w:rPr>
          <w:rFonts w:ascii="PT Astra Serif" w:hAnsi="PT Astra Serif" w:cs="PT Astra Serif"/>
          <w:sz w:val="26"/>
          <w:szCs w:val="26"/>
        </w:rPr>
        <w:t xml:space="preserve">х</w:t>
      </w:r>
      <w:r>
        <w:rPr>
          <w:rFonts w:ascii="PT Astra Serif" w:hAnsi="PT Astra Serif" w:cs="PT Astra Serif"/>
          <w:sz w:val="26"/>
          <w:szCs w:val="26"/>
        </w:rPr>
        <w:t xml:space="preserve">ся выполнили первый, второй, третий взрослые и юношеские разряды.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31"/>
        <w:ind w:firstLine="709"/>
        <w:jc w:val="both"/>
        <w:widowControl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 w:val="0"/>
          <w:sz w:val="26"/>
          <w:szCs w:val="26"/>
        </w:rPr>
        <w:t xml:space="preserve">Для фор</w:t>
      </w:r>
      <w:r>
        <w:rPr>
          <w:rFonts w:ascii="PT Astra Serif" w:hAnsi="PT Astra Serif" w:cs="PT Astra Serif"/>
          <w:b w:val="0"/>
          <w:sz w:val="26"/>
          <w:szCs w:val="26"/>
        </w:rPr>
        <w:t xml:space="preserve">мирования здорового образа жизни и повышения уровня физкультурно-оздоровительной работы в образовательных организациях Каргасокского района имеются 17 спортивных залов, 32 плоскостных спортивных сооружения, 4 тренажёрных зала, 3 спортивных ядра (стадионы).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Во всех школах района проведены классные часы:</w:t>
      </w:r>
      <w:r>
        <w:rPr>
          <w:rFonts w:ascii="PT Astra Serif" w:hAnsi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«Скажи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«нет» наркотикам», «Вместе против», «Что такое «</w:t>
      </w:r>
      <w:r>
        <w:rPr>
          <w:rFonts w:ascii="PT Astra Serif" w:hAnsi="PT Astra Serif" w:cs="PT Astra Serif"/>
          <w:sz w:val="26"/>
          <w:szCs w:val="26"/>
        </w:rPr>
        <w:t xml:space="preserve">вейп</w:t>
      </w:r>
      <w:r>
        <w:rPr>
          <w:rFonts w:ascii="PT Astra Serif" w:hAnsi="PT Astra Serif" w:cs="PT Astra Serif"/>
          <w:sz w:val="26"/>
          <w:szCs w:val="26"/>
        </w:rPr>
        <w:t xml:space="preserve">» и его </w:t>
      </w:r>
      <w:r>
        <w:rPr>
          <w:rFonts w:ascii="PT Astra Serif" w:hAnsi="PT Astra Serif" w:cs="PT Astra Serif"/>
          <w:sz w:val="26"/>
          <w:szCs w:val="26"/>
        </w:rPr>
        <w:t xml:space="preserve">последствия», «Думай до, а не после», «Жизнь без наркотиков», «Спорт против наркотиков»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У</w:t>
      </w:r>
      <w:r>
        <w:rPr>
          <w:rFonts w:ascii="PT Astra Serif" w:hAnsi="PT Astra Serif" w:cs="PT Astra Serif"/>
          <w:sz w:val="26"/>
          <w:szCs w:val="26"/>
        </w:rPr>
        <w:t xml:space="preserve">частники</w:t>
      </w:r>
      <w:r>
        <w:rPr>
          <w:rFonts w:ascii="PT Astra Serif" w:hAnsi="PT Astra Serif" w:cs="PT Astra Serif"/>
          <w:sz w:val="26"/>
          <w:szCs w:val="26"/>
        </w:rPr>
        <w:t xml:space="preserve"> -</w:t>
      </w:r>
      <w:r>
        <w:rPr>
          <w:rFonts w:ascii="PT Astra Serif" w:hAnsi="PT Astra Serif" w:cs="PT Astra Serif"/>
          <w:sz w:val="26"/>
          <w:szCs w:val="26"/>
        </w:rPr>
        <w:t xml:space="preserve"> 7-11 классы, 1003 (97%) учащихся.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Оформлено стендов «Будьте здоровы» в 7 школах (43%).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8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Проводилась акция по раздачи листовок, буклетов: «Мы за здоровый образ жизни», «Подросток и наркотики», «Токсикомания, как одна из форм наркомании», «Твоя жизнь – твой выбор», «Не попадись на крючок». Участие приняли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16 образовательных организаций (100%).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Общешкольные зарядки, посвященные «Дню здоровья» проводились среди</w:t>
      </w:r>
      <w:r>
        <w:rPr>
          <w:rFonts w:ascii="PT Astra Serif" w:hAnsi="PT Astra Serif" w:cs="PT Astra Serif"/>
          <w:sz w:val="26"/>
          <w:szCs w:val="26"/>
        </w:rPr>
        <w:t xml:space="preserve"> учащихся</w:t>
      </w:r>
      <w:r>
        <w:rPr>
          <w:rFonts w:ascii="PT Astra Serif" w:hAnsi="PT Astra Serif" w:cs="PT Astra Serif"/>
          <w:sz w:val="26"/>
          <w:szCs w:val="26"/>
        </w:rPr>
        <w:t xml:space="preserve"> 7-9 класс</w:t>
      </w:r>
      <w:r>
        <w:rPr>
          <w:rFonts w:ascii="PT Astra Serif" w:hAnsi="PT Astra Serif" w:cs="PT Astra Serif"/>
          <w:sz w:val="26"/>
          <w:szCs w:val="26"/>
        </w:rPr>
        <w:t xml:space="preserve">ов</w:t>
      </w:r>
      <w:r>
        <w:rPr>
          <w:rFonts w:ascii="PT Astra Serif" w:hAnsi="PT Astra Serif" w:cs="PT Astra Serif"/>
          <w:sz w:val="26"/>
          <w:szCs w:val="26"/>
        </w:rPr>
        <w:t xml:space="preserve">, приняло 724 (89%)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учащихся.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Выставка книг «Мы за здоровый образ жизни, против наркотиков» организована в 12 образовательных организациях (75%).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Проведены беседы: «Будьте здоровы», «Наркомания: знать, чтобы не оступиться», «Мы за ЗОЖ», </w:t>
      </w:r>
      <w:r>
        <w:rPr>
          <w:rFonts w:ascii="PT Astra Serif" w:hAnsi="PT Astra Serif" w:cs="PT Astra Serif"/>
          <w:sz w:val="26"/>
          <w:szCs w:val="26"/>
        </w:rPr>
        <w:t xml:space="preserve">просмотр </w:t>
      </w:r>
      <w:r>
        <w:rPr>
          <w:rFonts w:ascii="PT Astra Serif" w:hAnsi="PT Astra Serif" w:cs="PT Astra Serif"/>
          <w:sz w:val="26"/>
          <w:szCs w:val="26"/>
        </w:rPr>
        <w:t xml:space="preserve">видеоролик</w:t>
      </w:r>
      <w:r>
        <w:rPr>
          <w:rFonts w:ascii="PT Astra Serif" w:hAnsi="PT Astra Serif" w:cs="PT Astra Serif"/>
          <w:sz w:val="26"/>
          <w:szCs w:val="26"/>
        </w:rPr>
        <w:t xml:space="preserve">ов</w:t>
      </w:r>
      <w:r>
        <w:rPr>
          <w:rFonts w:ascii="PT Astra Serif" w:hAnsi="PT Astra Serif" w:cs="PT Astra Serif"/>
          <w:sz w:val="26"/>
          <w:szCs w:val="26"/>
        </w:rPr>
        <w:t xml:space="preserve"> «Влияние наркотиков на здоровье человека», «Пропасть»;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День здоровья (поход) среди 7-11 классы, 962 человека (93%).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На уроках по ОБЖ изучали темы: «Наркотики-зло», «Мы за ЗОЖ» 9-11 классы, 514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 xml:space="preserve">чел., </w:t>
      </w:r>
      <w:r>
        <w:rPr>
          <w:rFonts w:ascii="PT Astra Serif" w:hAnsi="PT Astra Serif" w:cs="PT Astra Serif"/>
          <w:sz w:val="26"/>
          <w:szCs w:val="26"/>
        </w:rPr>
        <w:t xml:space="preserve">(</w:t>
      </w:r>
      <w:r>
        <w:rPr>
          <w:rFonts w:ascii="PT Astra Serif" w:hAnsi="PT Astra Serif" w:cs="PT Astra Serif"/>
          <w:sz w:val="26"/>
          <w:szCs w:val="26"/>
        </w:rPr>
        <w:t xml:space="preserve">100%</w:t>
      </w:r>
      <w:r>
        <w:rPr>
          <w:rFonts w:ascii="PT Astra Serif" w:hAnsi="PT Astra Serif" w:cs="PT Astra Serif"/>
          <w:sz w:val="26"/>
          <w:szCs w:val="26"/>
        </w:rPr>
        <w:t xml:space="preserve">)</w:t>
      </w:r>
      <w:r>
        <w:rPr>
          <w:rFonts w:ascii="PT Astra Serif" w:hAnsi="PT Astra Serif" w:cs="PT Astra Serif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firstLine="709"/>
        <w:jc w:val="both"/>
        <w:spacing w:after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- </w:t>
      </w:r>
      <w:r>
        <w:rPr>
          <w:rFonts w:ascii="PT Astra Serif" w:hAnsi="PT Astra Serif" w:cs="PT Astra Serif"/>
          <w:sz w:val="26"/>
          <w:szCs w:val="26"/>
        </w:rPr>
        <w:t xml:space="preserve">Изготовили настенные газеты «Наркотикам – НЕТ, спорту ДА!» в 4 образовательных организациях (25%).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31"/>
        <w:ind w:firstLine="709"/>
        <w:jc w:val="both"/>
        <w:widowControl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b w:val="0"/>
          <w:sz w:val="26"/>
          <w:szCs w:val="26"/>
        </w:rPr>
        <w:t xml:space="preserve">За 2023-2024 учебный год общее финансирования по организации формирования здорового образа жизни и повышения уровня физкультурно-оздоровительной работы (615 статья расходов) в образовательных организациях Каргасокского района составило 4403000 рублей.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В учреждениях культуры Каргасокского района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постоянно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проводится работа по пропаганде здорового образа жизни среди молодежи.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         За девять месяцев 2024 года в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zh-CN"/>
        </w:rPr>
        <w:t xml:space="preserve">Домах культуры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было проведено 35 мероприят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ий, на которых присутствовали 1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590 человек.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Были проведены разные по форме мероприятия.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         В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Нововасюганском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ЦК, Киевском КДЦ,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Новоюгинском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ЦК прошли профилактические беседы по темам «Подросток в мире вредных привычек», «Вредное зловредное», «Курить не модно».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       В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Староюгинском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СДК оформлен информационный стенд «Здоровье –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да, наркотик –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нет», были изготовлены буклеты и вручены подросткам в школе.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      Три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видеопрезентации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«Мы в ответе за свои поступки», «Как убивает алкоголь», «Что уносит дым сигарет» были подготовлены для подростков в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Тымском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ДЦ, после просмотра прошло обсуждение этих тем.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       В 14 Домах культуры проведено 18 мероприятий под девизом «Мы - за здоровый образ жизни». Это спортивно-развлекательные программы («В здорово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м теле - здоровый дух», «Будь здоров на сто годов» и др.); познавательные часы («Здоровье в порядке, спасибо зарядке», «Если хочешь быть здоров» и др.), эстафеты, семейные старты и велогонки («Спортивный я и вся моя семья», «Мы со спортом дружим крепко», «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ЗаБег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» и др.).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За этот же период в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zh-CN"/>
        </w:rPr>
        <w:t xml:space="preserve">библиотеках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lang w:eastAsia="zh-CN"/>
        </w:rPr>
        <w:t xml:space="preserve"> К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аргасокского района по пропаганде здорового образа жизни было проведено 106 мероприятий, которые посетило 1690 человек.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Ко всемирному Дню здоровья 7 апреля были подготовлены мероприятия в 15 библиотеках района (Центральная, Павловская,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Нововасюганская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,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Средневасюганская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сельские библиотеки и др.).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Ко Всемирному дню без табака 31 мая в акции участвовали все библиотеки района, а также были опубликованы посты в социальных сетях на вышеназванную тематику.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В июне 12 библиотек района проводили профилактические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беседы и акции в День борьбы со злоупотреблением наркотических средств.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b w:val="0"/>
          <w:bCs w:val="0"/>
          <w:sz w:val="26"/>
          <w:szCs w:val="26"/>
          <w:u w:val="none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Ко дню физкультурника 7 сельских библиотек провели игровые мероприятия </w:t>
      </w:r>
      <w:r>
        <w:rPr>
          <w:rFonts w:ascii="PT Astra Serif" w:hAnsi="PT Astra Serif" w:eastAsia="Cambria" w:cs="PT Astra Serif"/>
          <w:iCs/>
          <w:sz w:val="26"/>
          <w:szCs w:val="26"/>
          <w:lang w:eastAsia="zh-CN"/>
        </w:rPr>
        <w:t xml:space="preserve">«Игровой </w:t>
      </w:r>
      <w:r>
        <w:rPr>
          <w:rFonts w:ascii="PT Astra Serif" w:hAnsi="PT Astra Serif" w:eastAsia="Cambria" w:cs="PT Astra Serif"/>
          <w:iCs/>
          <w:sz w:val="26"/>
          <w:szCs w:val="26"/>
          <w:lang w:eastAsia="zh-CN"/>
        </w:rPr>
        <w:t xml:space="preserve">Zабег</w:t>
      </w:r>
      <w:r>
        <w:rPr>
          <w:rFonts w:ascii="PT Astra Serif" w:hAnsi="PT Astra Serif" w:eastAsia="Cambria" w:cs="PT Astra Serif"/>
          <w:iCs/>
          <w:sz w:val="26"/>
          <w:szCs w:val="26"/>
          <w:lang w:eastAsia="zh-CN"/>
        </w:rPr>
        <w:t xml:space="preserve">»: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(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Новоюгинская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,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Средневасюганская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,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Нововасюганская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, Павловская сельские библиотеки - «Спортивное детство»,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Лозунгский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БДЦ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-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«Формула здоровья», Бонда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рский БДЦ,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Большегривский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 БДЦ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- «Здоровым будешь – всё добудешь!»),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почти во всех м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ероприятиях участвовали 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спортинструкторы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 xml:space="preserve"> сельских поселений.</w:t>
      </w:r>
      <w:r>
        <w:rPr>
          <w:rFonts w:ascii="PT Astra Serif" w:hAnsi="PT Astra Serif" w:eastAsia="Times New Roman" w:cs="PT Astra Serif"/>
          <w:b w:val="0"/>
          <w:bCs w:val="0"/>
          <w:sz w:val="26"/>
          <w:szCs w:val="26"/>
          <w:u w:val="none"/>
          <w:lang w:eastAsia="zh-CN"/>
        </w:rPr>
        <w:tab/>
      </w:r>
      <w:r>
        <w:rPr>
          <w:rFonts w:ascii="PT Astra Serif" w:hAnsi="PT Astra Serif" w:cs="PT Astra Serif"/>
          <w:b w:val="0"/>
          <w:bCs w:val="0"/>
          <w:sz w:val="26"/>
          <w:szCs w:val="26"/>
          <w:u w:val="none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В каникулярный период для участников летних детских площадок в 15 библиотеках проходили мероприятия, посвященные профилактике вредных привычек и формированию здорового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образа жизни: «Скажи жизни – Да!», «Жизнь. Здоровье. Успех. = Твой выбор!», «Быть здоровым модно, классно, стильно!», «Что нам нужно для здоровья» и др.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На библиотечных страницах в социальных сетях были опубликованы посты, рассказывающие о здоровом образе жизни, питании и физической активности подростков и молодежи.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/>
        <w:ind w:firstLine="708"/>
        <w:jc w:val="both"/>
        <w:spacing w:before="100" w:beforeAutospacing="1" w:after="100" w:afterAutospacing="1" w:line="240" w:lineRule="auto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В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соцсетях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районной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администрации постоянно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после проведённых мероприятий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сразу размещаются материалы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, в этом году уже более 30 публикаций, также в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районной газете, в 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соцсетях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 с</w:t>
      </w:r>
      <w:r>
        <w:rPr>
          <w:rFonts w:ascii="PT Astra Serif" w:hAnsi="PT Astra Serif" w:eastAsia="Times New Roman" w:cs="PT Astra Serif"/>
          <w:sz w:val="26"/>
          <w:szCs w:val="26"/>
          <w:lang w:eastAsia="zh-CN"/>
        </w:rPr>
        <w:t xml:space="preserve">ельских поселений.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6"/>
          <w:szCs w:val="26"/>
          <w:highlight w:val="white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white"/>
        </w:rPr>
        <w:t xml:space="preserve">Решение: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  <w:t xml:space="preserve">2.1. </w:t>
      </w:r>
      <w:r>
        <w:rPr>
          <w:rFonts w:ascii="PT Astra Serif" w:hAnsi="PT Astra Serif" w:cs="PT Astra Serif"/>
          <w:sz w:val="26"/>
          <w:szCs w:val="26"/>
          <w:highlight w:val="none"/>
        </w:rPr>
        <w:t xml:space="preserve">Информацию Заместителя Главы Каргасокского района по социальным вопросам – начальника отдела по социальной работе</w:t>
      </w:r>
      <w:r>
        <w:rPr>
          <w:sz w:val="28"/>
          <w:szCs w:val="28"/>
        </w:rPr>
        <w:t xml:space="preserve"> 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  <w:t xml:space="preserve">(Шамраева А.Ф.) принять к сведению.</w:t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  <w:t xml:space="preserve">2.2. Органам системы профилактики и образовательным организациям Каргасокского района продолжать активное взаимодействие с целью формирования здорового образа жизни молодежи и повышения уровня физкультурно-оздоровительной работы в образовательных организациях. </w:t>
      </w:r>
      <w:r>
        <w:rPr>
          <w:rFonts w:ascii="PT Astra Serif" w:hAnsi="PT Astra Serif" w:cs="PT Astra Serif"/>
          <w:b w:val="0"/>
          <w:bCs w:val="0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b/>
          <w:bCs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  <w:t xml:space="preserve">Срок: Постоянно.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sz w:val="26"/>
          <w:szCs w:val="26"/>
          <w:highlight w:val="non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color w:val="auto"/>
          <w:sz w:val="26"/>
          <w:szCs w:val="26"/>
          <w:highlight w:val="yellow"/>
          <w:u w:val="single"/>
        </w:rPr>
        <w:suppressLineNumbers w:val="0"/>
      </w:pPr>
      <w:r>
        <w:rPr>
          <w:rFonts w:ascii="PT Astra Serif" w:hAnsi="PT Astra Serif" w:cs="PT Astra Serif"/>
          <w:color w:val="auto"/>
          <w:sz w:val="26"/>
          <w:szCs w:val="26"/>
          <w:highlight w:val="yellow"/>
          <w:u w:val="single"/>
        </w:rPr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contextualSpacing w:val="0"/>
        <w:ind w:left="0" w:right="0" w:firstLine="709"/>
        <w:jc w:val="both"/>
        <w:spacing w:line="240" w:lineRule="auto"/>
        <w:rPr>
          <w:rFonts w:ascii="PT Astra Serif" w:hAnsi="PT Astra Serif" w:cs="PT Astra Serif"/>
          <w:color w:val="auto"/>
          <w:sz w:val="26"/>
          <w:szCs w:val="26"/>
          <w:highlight w:val="yellow"/>
          <w:u w:val="single"/>
        </w:rPr>
        <w:suppressLineNumbers w:val="0"/>
      </w:pPr>
      <w:r>
        <w:rPr>
          <w:rFonts w:ascii="PT Astra Serif" w:hAnsi="PT Astra Serif" w:cs="PT Astra Serif"/>
          <w:sz w:val="26"/>
          <w:szCs w:val="26"/>
          <w:highlight w:val="yellow"/>
        </w:rPr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ind w:left="0" w:right="0" w:firstLine="0"/>
        <w:jc w:val="both"/>
        <w:spacing w:after="634" w:line="338" w:lineRule="exact"/>
        <w:tabs>
          <w:tab w:val="left" w:pos="727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  <w:t xml:space="preserve">Заместитель председателя</w:t>
      </w:r>
      <w:r>
        <w:rPr>
          <w:rFonts w:ascii="PT Astra Serif" w:hAnsi="PT Astra Serif" w:cs="PT Astra Serif"/>
          <w:sz w:val="26"/>
          <w:szCs w:val="26"/>
        </w:rPr>
        <w:t xml:space="preserve"> Комиссии                                      </w:t>
      </w:r>
      <w:r>
        <w:rPr>
          <w:rFonts w:ascii="PT Astra Serif" w:hAnsi="PT Astra Serif" w:cs="PT Astra Serif"/>
          <w:sz w:val="26"/>
          <w:szCs w:val="26"/>
        </w:rPr>
        <w:t xml:space="preserve">               С.И. Герасимов</w:t>
      </w:r>
      <w:r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pStyle w:val="907"/>
        <w:ind w:left="0" w:right="0" w:firstLine="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Секретарь Комиссии                                                       </w:t>
        <w:tab/>
        <w:t xml:space="preserve">                   Н.С. Риндевич</w:t>
      </w:r>
      <w:r>
        <w:rPr>
          <w:rFonts w:ascii="PT Astra Serif" w:hAnsi="PT Astra Serif" w:cs="PT Astra Serif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MS Sans Serif">
    <w:panose1 w:val="02000603000000000000"/>
  </w:font>
  <w:font w:name="Segoe UI">
    <w:panose1 w:val="020B0502040504020204"/>
  </w:font>
  <w:font w:name="Consolas">
    <w:panose1 w:val="020B0606020202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4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3" w:hanging="990"/>
      </w:pPr>
      <w:rPr>
        <w:b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59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35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b w:val="0"/>
        <w:i w:val="0"/>
        <w:highlight w:val="whit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4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1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1">
    <w:name w:val="Heading 1"/>
    <w:basedOn w:val="897"/>
    <w:next w:val="897"/>
    <w:link w:val="7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2">
    <w:name w:val="Heading 1 Char"/>
    <w:basedOn w:val="898"/>
    <w:link w:val="721"/>
    <w:uiPriority w:val="9"/>
    <w:rPr>
      <w:rFonts w:ascii="Arial" w:hAnsi="Arial" w:eastAsia="Arial" w:cs="Arial"/>
      <w:sz w:val="40"/>
      <w:szCs w:val="40"/>
    </w:rPr>
  </w:style>
  <w:style w:type="paragraph" w:styleId="723">
    <w:name w:val="Heading 2"/>
    <w:basedOn w:val="897"/>
    <w:next w:val="897"/>
    <w:link w:val="7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4">
    <w:name w:val="Heading 2 Char"/>
    <w:basedOn w:val="898"/>
    <w:link w:val="723"/>
    <w:uiPriority w:val="9"/>
    <w:rPr>
      <w:rFonts w:ascii="Arial" w:hAnsi="Arial" w:eastAsia="Arial" w:cs="Arial"/>
      <w:sz w:val="34"/>
    </w:rPr>
  </w:style>
  <w:style w:type="paragraph" w:styleId="725">
    <w:name w:val="Heading 3"/>
    <w:basedOn w:val="897"/>
    <w:next w:val="897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6">
    <w:name w:val="Heading 3 Char"/>
    <w:basedOn w:val="898"/>
    <w:link w:val="725"/>
    <w:uiPriority w:val="9"/>
    <w:rPr>
      <w:rFonts w:ascii="Arial" w:hAnsi="Arial" w:eastAsia="Arial" w:cs="Arial"/>
      <w:sz w:val="30"/>
      <w:szCs w:val="30"/>
    </w:rPr>
  </w:style>
  <w:style w:type="paragraph" w:styleId="727">
    <w:name w:val="Heading 4"/>
    <w:basedOn w:val="897"/>
    <w:next w:val="897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8">
    <w:name w:val="Heading 4 Char"/>
    <w:basedOn w:val="898"/>
    <w:link w:val="727"/>
    <w:uiPriority w:val="9"/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0">
    <w:name w:val="Heading 5 Char"/>
    <w:basedOn w:val="898"/>
    <w:link w:val="729"/>
    <w:uiPriority w:val="9"/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897"/>
    <w:next w:val="897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2">
    <w:name w:val="Heading 6 Char"/>
    <w:basedOn w:val="898"/>
    <w:link w:val="731"/>
    <w:uiPriority w:val="9"/>
    <w:rPr>
      <w:rFonts w:ascii="Arial" w:hAnsi="Arial" w:eastAsia="Arial" w:cs="Arial"/>
      <w:b/>
      <w:bCs/>
      <w:sz w:val="22"/>
      <w:szCs w:val="22"/>
    </w:rPr>
  </w:style>
  <w:style w:type="paragraph" w:styleId="733">
    <w:name w:val="Heading 7"/>
    <w:basedOn w:val="897"/>
    <w:next w:val="897"/>
    <w:link w:val="7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7 Char"/>
    <w:basedOn w:val="898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897"/>
    <w:next w:val="897"/>
    <w:link w:val="7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6">
    <w:name w:val="Heading 8 Char"/>
    <w:basedOn w:val="898"/>
    <w:link w:val="735"/>
    <w:uiPriority w:val="9"/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897"/>
    <w:next w:val="89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>
    <w:name w:val="Heading 9 Char"/>
    <w:basedOn w:val="89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897"/>
    <w:next w:val="897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>
    <w:name w:val="Title Char"/>
    <w:basedOn w:val="898"/>
    <w:link w:val="739"/>
    <w:uiPriority w:val="10"/>
    <w:rPr>
      <w:sz w:val="48"/>
      <w:szCs w:val="48"/>
    </w:rPr>
  </w:style>
  <w:style w:type="paragraph" w:styleId="741">
    <w:name w:val="Subtitle"/>
    <w:basedOn w:val="897"/>
    <w:next w:val="897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>
    <w:name w:val="Subtitle Char"/>
    <w:basedOn w:val="898"/>
    <w:link w:val="741"/>
    <w:uiPriority w:val="11"/>
    <w:rPr>
      <w:sz w:val="24"/>
      <w:szCs w:val="24"/>
    </w:rPr>
  </w:style>
  <w:style w:type="paragraph" w:styleId="743">
    <w:name w:val="Quote"/>
    <w:basedOn w:val="897"/>
    <w:next w:val="897"/>
    <w:link w:val="744"/>
    <w:uiPriority w:val="29"/>
    <w:qFormat/>
    <w:pPr>
      <w:ind w:left="720" w:right="720"/>
    </w:pPr>
    <w:rPr>
      <w:i/>
    </w:rPr>
  </w:style>
  <w:style w:type="character" w:styleId="744">
    <w:name w:val="Quote Char"/>
    <w:link w:val="743"/>
    <w:uiPriority w:val="29"/>
    <w:rPr>
      <w:i/>
    </w:rPr>
  </w:style>
  <w:style w:type="paragraph" w:styleId="745">
    <w:name w:val="Intense Quote"/>
    <w:basedOn w:val="897"/>
    <w:next w:val="897"/>
    <w:link w:val="7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>
    <w:name w:val="Intense Quote Char"/>
    <w:link w:val="745"/>
    <w:uiPriority w:val="30"/>
    <w:rPr>
      <w:i/>
    </w:rPr>
  </w:style>
  <w:style w:type="paragraph" w:styleId="747">
    <w:name w:val="Header"/>
    <w:basedOn w:val="897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>
    <w:name w:val="Header Char"/>
    <w:basedOn w:val="898"/>
    <w:link w:val="747"/>
    <w:uiPriority w:val="99"/>
  </w:style>
  <w:style w:type="paragraph" w:styleId="749">
    <w:name w:val="Footer"/>
    <w:basedOn w:val="897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>
    <w:name w:val="Footer Char"/>
    <w:basedOn w:val="898"/>
    <w:link w:val="749"/>
    <w:uiPriority w:val="99"/>
  </w:style>
  <w:style w:type="paragraph" w:styleId="751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749"/>
    <w:uiPriority w:val="99"/>
  </w:style>
  <w:style w:type="table" w:styleId="753">
    <w:name w:val="Table Grid"/>
    <w:basedOn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3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5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7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8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5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6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7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8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9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0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7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8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9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0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1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2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5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6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8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0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1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2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3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4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5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6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7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8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0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1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2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3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4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5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7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8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9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0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1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2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3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4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5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6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7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8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000ff" w:themeColor="hyperlink"/>
      <w:u w:val="single"/>
    </w:r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8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8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8" w:default="1">
    <w:name w:val="Default Paragraph Font"/>
    <w:uiPriority w:val="1"/>
    <w:semiHidden/>
    <w:unhideWhenUsed/>
  </w:style>
  <w:style w:type="table" w:styleId="89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>
    <w:name w:val="HTML Preformatted"/>
    <w:basedOn w:val="897"/>
    <w:link w:val="902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/>
    </w:rPr>
  </w:style>
  <w:style w:type="character" w:styleId="902" w:customStyle="1">
    <w:name w:val="Стандартный HTML Знак"/>
    <w:basedOn w:val="898"/>
    <w:link w:val="901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903">
    <w:name w:val="Normal (Web)"/>
    <w:basedOn w:val="897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904">
    <w:name w:val="List Paragraph"/>
    <w:basedOn w:val="897"/>
    <w:uiPriority w:val="34"/>
    <w:qFormat/>
    <w:pPr>
      <w:contextualSpacing/>
      <w:ind w:left="720"/>
    </w:pPr>
  </w:style>
  <w:style w:type="paragraph" w:styleId="905">
    <w:name w:val="Body Text"/>
    <w:basedOn w:val="897"/>
    <w:link w:val="906"/>
    <w:unhideWhenUsed/>
    <w:pPr>
      <w:jc w:val="both"/>
    </w:pPr>
    <w:rPr>
      <w:sz w:val="28"/>
    </w:rPr>
  </w:style>
  <w:style w:type="character" w:styleId="906" w:customStyle="1">
    <w:name w:val="Основной текст Знак"/>
    <w:basedOn w:val="898"/>
    <w:link w:val="90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8" w:customStyle="1">
    <w:name w:val="Font Style11"/>
    <w:basedOn w:val="898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909" w:customStyle="1">
    <w:name w:val="Style3"/>
    <w:basedOn w:val="897"/>
    <w:uiPriority w:val="99"/>
    <w:pPr>
      <w:ind w:firstLine="727"/>
      <w:jc w:val="both"/>
      <w:spacing w:line="320" w:lineRule="exact"/>
      <w:widowControl w:val="off"/>
    </w:pPr>
    <w:rPr>
      <w:rFonts w:eastAsiaTheme="minorEastAsia"/>
      <w:sz w:val="24"/>
      <w:szCs w:val="24"/>
    </w:rPr>
  </w:style>
  <w:style w:type="paragraph" w:styleId="910" w:customStyle="1">
    <w:name w:val="Style6"/>
    <w:basedOn w:val="897"/>
    <w:pPr>
      <w:ind w:firstLine="374"/>
      <w:jc w:val="both"/>
      <w:spacing w:line="324" w:lineRule="exact"/>
      <w:widowControl w:val="off"/>
    </w:pPr>
    <w:rPr>
      <w:rFonts w:eastAsiaTheme="minorEastAsia"/>
      <w:sz w:val="24"/>
      <w:szCs w:val="24"/>
    </w:rPr>
  </w:style>
  <w:style w:type="paragraph" w:styleId="911" w:customStyle="1">
    <w:name w:val="Style7"/>
    <w:basedOn w:val="897"/>
    <w:uiPriority w:val="99"/>
    <w:pPr>
      <w:ind w:firstLine="706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912" w:customStyle="1">
    <w:name w:val="Style8"/>
    <w:basedOn w:val="897"/>
    <w:uiPriority w:val="99"/>
    <w:pPr>
      <w:widowControl w:val="off"/>
    </w:pPr>
    <w:rPr>
      <w:rFonts w:eastAsiaTheme="minorEastAsia"/>
      <w:sz w:val="24"/>
      <w:szCs w:val="24"/>
    </w:rPr>
  </w:style>
  <w:style w:type="character" w:styleId="913" w:customStyle="1">
    <w:name w:val="Font Style16"/>
    <w:basedOn w:val="898"/>
    <w:uiPriority w:val="99"/>
    <w:rPr>
      <w:rFonts w:hint="default" w:ascii="Times New Roman" w:hAnsi="Times New Roman" w:cs="Times New Roman"/>
      <w:sz w:val="26"/>
      <w:szCs w:val="26"/>
    </w:rPr>
  </w:style>
  <w:style w:type="character" w:styleId="914" w:customStyle="1">
    <w:name w:val="Font Style15"/>
    <w:basedOn w:val="898"/>
    <w:uiPriority w:val="99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basedOn w:val="898"/>
    <w:uiPriority w:val="99"/>
    <w:rPr>
      <w:rFonts w:ascii="Times New Roman" w:hAnsi="Times New Roman" w:cs="Times New Roman"/>
      <w:spacing w:val="-20"/>
      <w:sz w:val="22"/>
      <w:szCs w:val="22"/>
    </w:rPr>
  </w:style>
  <w:style w:type="paragraph" w:styleId="916">
    <w:name w:val="Balloon Text"/>
    <w:basedOn w:val="897"/>
    <w:link w:val="91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7" w:customStyle="1">
    <w:name w:val="Текст выноски Знак"/>
    <w:basedOn w:val="898"/>
    <w:link w:val="9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18" w:customStyle="1">
    <w:name w:val="ConsPlusNormal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9" w:customStyle="1">
    <w:name w:val="1KG=K9"/>
    <w:pPr>
      <w:spacing w:after="0" w:line="240" w:lineRule="auto"/>
    </w:pPr>
    <w:rPr>
      <w:rFonts w:ascii="MS Sans Serif" w:hAnsi="MS Sans Serif" w:eastAsia="Times New Roman" w:cs="Times New Roman"/>
      <w:sz w:val="24"/>
      <w:szCs w:val="20"/>
      <w:lang w:eastAsia="ru-RU"/>
    </w:rPr>
  </w:style>
  <w:style w:type="paragraph" w:styleId="920" w:customStyle="1">
    <w:name w:val="Style12"/>
    <w:basedOn w:val="897"/>
    <w:pPr>
      <w:jc w:val="both"/>
      <w:spacing w:line="264" w:lineRule="exact"/>
    </w:pPr>
  </w:style>
  <w:style w:type="character" w:styleId="921" w:customStyle="1">
    <w:name w:val="CharStyle0"/>
    <w:basedOn w:val="898"/>
    <w:rPr>
      <w:rFonts w:ascii="Times New Roman" w:hAnsi="Times New Roman" w:eastAsia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922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3" w:customStyle="1">
    <w:name w:val="Основной текст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paragraph" w:styleId="924" w:customStyle="1">
    <w:name w:val="Основной текст с отступом 2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25" w:customStyle="1">
    <w:name w:val="Игорь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8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6" w:customStyle="1">
    <w:name w:val="fontstyle01"/>
    <w:rPr>
      <w:rFonts w:ascii="Times New Roman" w:hAnsi="Times New Roman" w:cs="Times New Roman"/>
      <w:color w:val="000000"/>
      <w:sz w:val="28"/>
      <w:szCs w:val="28"/>
    </w:rPr>
  </w:style>
  <w:style w:type="character" w:styleId="927" w:customStyle="1">
    <w:name w:val="Основной текст (2) + 10 pt;Полужирный"/>
    <w:rPr>
      <w:rFonts w:ascii="Times New Roman" w:hAnsi="Times New Roman" w:eastAsia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styleId="928" w:customStyle="1">
    <w:name w:val="Заголовок 2"/>
    <w:uiPriority w:val="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20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4f81bd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29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30" w:customStyle="1">
    <w:name w:val="Обычный (веб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revision>49</cp:revision>
  <dcterms:created xsi:type="dcterms:W3CDTF">2021-05-19T06:55:00Z</dcterms:created>
  <dcterms:modified xsi:type="dcterms:W3CDTF">2024-10-07T04:54:15Z</dcterms:modified>
</cp:coreProperties>
</file>